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5167543"/>
    <w:p w14:paraId="0DECABD1" w14:textId="77777777" w:rsidR="0078111F" w:rsidRDefault="0078111F">
      <w:pPr>
        <w:rPr>
          <w:rFonts w:asciiTheme="majorHAnsi" w:eastAsiaTheme="majorEastAsia" w:hAnsiTheme="majorHAnsi" w:cstheme="majorBidi"/>
          <w:color w:val="306785" w:themeColor="accent1" w:themeShade="BF"/>
          <w:sz w:val="32"/>
          <w:szCs w:val="32"/>
        </w:rPr>
      </w:pPr>
      <w:r>
        <w:rPr>
          <w:noProof/>
        </w:rPr>
        <mc:AlternateContent>
          <mc:Choice Requires="wpg">
            <w:drawing>
              <wp:anchor distT="0" distB="0" distL="114300" distR="114300" simplePos="0" relativeHeight="251662336" behindDoc="1" locked="0" layoutInCell="1" allowOverlap="1" wp14:anchorId="55E12E03" wp14:editId="1CBE5719">
                <wp:simplePos x="0" y="0"/>
                <wp:positionH relativeFrom="page">
                  <wp:posOffset>846711</wp:posOffset>
                </wp:positionH>
                <wp:positionV relativeFrom="margin">
                  <wp:posOffset>-710120</wp:posOffset>
                </wp:positionV>
                <wp:extent cx="6852920" cy="9142730"/>
                <wp:effectExtent l="0" t="0" r="2540" b="63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799A8" w14:textId="77777777" w:rsidR="00813F70" w:rsidRPr="004B7B73" w:rsidRDefault="00813F70" w:rsidP="0078111F">
                              <w:pPr>
                                <w:pStyle w:val="NoSpacing"/>
                                <w:rPr>
                                  <w:caps/>
                                  <w:color w:val="00B050"/>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9F65D" w14:textId="6DC2A1AC"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2019-2020</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5E12E03" id="Group 119" o:spid="_x0000_s1026" style="position:absolute;margin-left:66.65pt;margin-top:-55.9pt;width:539.6pt;height:719.9pt;z-index:-251654144;mso-width-percent:882;mso-height-percent:909;mso-position-horizontal-relative:page;mso-position-vertical-relative:margin;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18ab3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a6b727 [3205]" stroked="f" strokeweight="1pt">
                  <v:textbox inset="36pt,14.4pt,36pt,36pt">
                    <w:txbxContent>
                      <w:p w14:paraId="2B1799A8" w14:textId="77777777" w:rsidR="00813F70" w:rsidRPr="004B7B73" w:rsidRDefault="00813F70" w:rsidP="0078111F">
                        <w:pPr>
                          <w:pStyle w:val="NoSpacing"/>
                          <w:rPr>
                            <w:caps/>
                            <w:color w:val="00B050"/>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1A9F65D" w14:textId="6DC2A1AC"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2019-2020</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End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v:textbox>
                </v:shape>
                <w10:wrap anchorx="page" anchory="margin"/>
              </v:group>
            </w:pict>
          </mc:Fallback>
        </mc:AlternateContent>
      </w:r>
      <w:r>
        <w:rPr>
          <w:rFonts w:asciiTheme="majorHAnsi" w:eastAsiaTheme="majorEastAsia" w:hAnsiTheme="majorHAnsi" w:cstheme="majorBidi"/>
          <w:color w:val="306785" w:themeColor="accent1" w:themeShade="BF"/>
          <w:sz w:val="32"/>
          <w:szCs w:val="32"/>
        </w:rPr>
        <w:br w:type="page"/>
      </w:r>
    </w:p>
    <w:sdt>
      <w:sdtPr>
        <w:rPr>
          <w:rFonts w:asciiTheme="minorHAnsi" w:eastAsiaTheme="minorHAnsi" w:hAnsiTheme="minorHAnsi" w:cstheme="minorBidi"/>
          <w:color w:val="auto"/>
          <w:sz w:val="22"/>
          <w:szCs w:val="22"/>
        </w:rPr>
        <w:id w:val="-1549993150"/>
        <w:docPartObj>
          <w:docPartGallery w:val="Table of Contents"/>
          <w:docPartUnique/>
        </w:docPartObj>
      </w:sdtPr>
      <w:sdtEndPr>
        <w:rPr>
          <w:b/>
          <w:bCs/>
          <w:noProof/>
        </w:rPr>
      </w:sdtEndPr>
      <w:sdtContent>
        <w:p w14:paraId="3ED129F1" w14:textId="2046A903" w:rsidR="001049F5" w:rsidRDefault="001049F5">
          <w:pPr>
            <w:pStyle w:val="TOCHeading"/>
          </w:pPr>
          <w:r>
            <w:t>Table of Contents</w:t>
          </w:r>
        </w:p>
        <w:p w14:paraId="76654103" w14:textId="16C6BB24" w:rsidR="00FB01C1" w:rsidRDefault="001049F5">
          <w:pPr>
            <w:pStyle w:val="TOC1"/>
            <w:tabs>
              <w:tab w:val="right" w:leader="dot" w:pos="9350"/>
            </w:tabs>
            <w:rPr>
              <w:rFonts w:cstheme="minorBidi"/>
              <w:noProof/>
              <w:sz w:val="24"/>
              <w:szCs w:val="24"/>
            </w:rPr>
          </w:pPr>
          <w:r w:rsidRPr="00111F6F">
            <w:rPr>
              <w:rFonts w:cstheme="minorHAnsi"/>
              <w:sz w:val="24"/>
              <w:szCs w:val="24"/>
            </w:rPr>
            <w:fldChar w:fldCharType="begin"/>
          </w:r>
          <w:r w:rsidRPr="00111F6F">
            <w:rPr>
              <w:rFonts w:cstheme="minorHAnsi"/>
              <w:sz w:val="24"/>
              <w:szCs w:val="24"/>
            </w:rPr>
            <w:instrText xml:space="preserve"> TOC \o "1-3" \h \z \u </w:instrText>
          </w:r>
          <w:r w:rsidRPr="00111F6F">
            <w:rPr>
              <w:rFonts w:cstheme="minorHAnsi"/>
              <w:sz w:val="24"/>
              <w:szCs w:val="24"/>
            </w:rPr>
            <w:fldChar w:fldCharType="separate"/>
          </w:r>
          <w:hyperlink w:anchor="_Toc51083178" w:history="1">
            <w:r w:rsidR="00FB01C1" w:rsidRPr="00732A70">
              <w:rPr>
                <w:rStyle w:val="Hyperlink"/>
                <w:rFonts w:asciiTheme="majorHAnsi" w:eastAsiaTheme="majorEastAsia" w:hAnsiTheme="majorHAnsi" w:cstheme="majorBidi"/>
                <w:noProof/>
              </w:rPr>
              <w:t>Introduction</w:t>
            </w:r>
            <w:r w:rsidR="00FB01C1">
              <w:rPr>
                <w:noProof/>
                <w:webHidden/>
              </w:rPr>
              <w:tab/>
            </w:r>
            <w:r w:rsidR="00FB01C1">
              <w:rPr>
                <w:noProof/>
                <w:webHidden/>
              </w:rPr>
              <w:fldChar w:fldCharType="begin"/>
            </w:r>
            <w:r w:rsidR="00FB01C1">
              <w:rPr>
                <w:noProof/>
                <w:webHidden/>
              </w:rPr>
              <w:instrText xml:space="preserve"> PAGEREF _Toc51083178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57BFCD0" w14:textId="5BF10EC6" w:rsidR="00FB01C1" w:rsidRDefault="00000000">
          <w:pPr>
            <w:pStyle w:val="TOC2"/>
            <w:tabs>
              <w:tab w:val="right" w:leader="dot" w:pos="9350"/>
            </w:tabs>
            <w:rPr>
              <w:rFonts w:cstheme="minorBidi"/>
              <w:noProof/>
              <w:sz w:val="24"/>
              <w:szCs w:val="24"/>
            </w:rPr>
          </w:pPr>
          <w:hyperlink w:anchor="_Toc51083179" w:history="1">
            <w:r w:rsidR="00FB01C1" w:rsidRPr="00732A70">
              <w:rPr>
                <w:rStyle w:val="Hyperlink"/>
                <w:rFonts w:asciiTheme="majorHAnsi" w:eastAsiaTheme="majorEastAsia" w:hAnsiTheme="majorHAnsi" w:cstheme="majorBidi"/>
                <w:noProof/>
              </w:rPr>
              <w:t>Respect for Privacy</w:t>
            </w:r>
            <w:r w:rsidR="00FB01C1">
              <w:rPr>
                <w:noProof/>
                <w:webHidden/>
              </w:rPr>
              <w:tab/>
            </w:r>
            <w:r w:rsidR="00FB01C1">
              <w:rPr>
                <w:noProof/>
                <w:webHidden/>
              </w:rPr>
              <w:fldChar w:fldCharType="begin"/>
            </w:r>
            <w:r w:rsidR="00FB01C1">
              <w:rPr>
                <w:noProof/>
                <w:webHidden/>
              </w:rPr>
              <w:instrText xml:space="preserve"> PAGEREF _Toc51083179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09E809F" w14:textId="44A7E368" w:rsidR="00FB01C1" w:rsidRDefault="00000000">
          <w:pPr>
            <w:pStyle w:val="TOC2"/>
            <w:tabs>
              <w:tab w:val="right" w:leader="dot" w:pos="9350"/>
            </w:tabs>
            <w:rPr>
              <w:rFonts w:cstheme="minorBidi"/>
              <w:noProof/>
              <w:sz w:val="24"/>
              <w:szCs w:val="24"/>
            </w:rPr>
          </w:pPr>
          <w:hyperlink w:anchor="_Toc51083180" w:history="1">
            <w:r w:rsidR="00FB01C1" w:rsidRPr="00732A70">
              <w:rPr>
                <w:rStyle w:val="Hyperlink"/>
                <w:rFonts w:asciiTheme="majorHAnsi" w:eastAsiaTheme="majorEastAsia" w:hAnsiTheme="majorHAnsi" w:cstheme="majorBidi"/>
                <w:noProof/>
              </w:rPr>
              <w:t>Conduct Process</w:t>
            </w:r>
            <w:r w:rsidR="00FB01C1">
              <w:rPr>
                <w:noProof/>
                <w:webHidden/>
              </w:rPr>
              <w:tab/>
            </w:r>
            <w:r w:rsidR="00FB01C1">
              <w:rPr>
                <w:noProof/>
                <w:webHidden/>
              </w:rPr>
              <w:fldChar w:fldCharType="begin"/>
            </w:r>
            <w:r w:rsidR="00FB01C1">
              <w:rPr>
                <w:noProof/>
                <w:webHidden/>
              </w:rPr>
              <w:instrText xml:space="preserve"> PAGEREF _Toc51083180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7BB90B0E" w14:textId="792429F5" w:rsidR="00FB01C1" w:rsidRDefault="00000000">
          <w:pPr>
            <w:pStyle w:val="TOC2"/>
            <w:tabs>
              <w:tab w:val="right" w:leader="dot" w:pos="9350"/>
            </w:tabs>
            <w:rPr>
              <w:rFonts w:cstheme="minorBidi"/>
              <w:noProof/>
              <w:sz w:val="24"/>
              <w:szCs w:val="24"/>
            </w:rPr>
          </w:pPr>
          <w:hyperlink w:anchor="_Toc51083181" w:history="1">
            <w:r w:rsidR="00FB01C1" w:rsidRPr="00732A70">
              <w:rPr>
                <w:rStyle w:val="Hyperlink"/>
                <w:noProof/>
              </w:rPr>
              <w:t>Other COS Functions</w:t>
            </w:r>
            <w:r w:rsidR="00FB01C1">
              <w:rPr>
                <w:noProof/>
                <w:webHidden/>
              </w:rPr>
              <w:tab/>
            </w:r>
            <w:r w:rsidR="00FB01C1">
              <w:rPr>
                <w:noProof/>
                <w:webHidden/>
              </w:rPr>
              <w:fldChar w:fldCharType="begin"/>
            </w:r>
            <w:r w:rsidR="00FB01C1">
              <w:rPr>
                <w:noProof/>
                <w:webHidden/>
              </w:rPr>
              <w:instrText xml:space="preserve"> PAGEREF _Toc51083181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04EA1A3E" w14:textId="58EDA6CD" w:rsidR="00FB01C1" w:rsidRDefault="00000000">
          <w:pPr>
            <w:pStyle w:val="TOC2"/>
            <w:tabs>
              <w:tab w:val="right" w:leader="dot" w:pos="9350"/>
            </w:tabs>
            <w:rPr>
              <w:rFonts w:cstheme="minorBidi"/>
              <w:noProof/>
              <w:sz w:val="24"/>
              <w:szCs w:val="24"/>
            </w:rPr>
          </w:pPr>
          <w:hyperlink w:anchor="_Toc51083182" w:history="1">
            <w:r w:rsidR="00FB01C1" w:rsidRPr="00732A70">
              <w:rPr>
                <w:rStyle w:val="Hyperlink"/>
                <w:noProof/>
              </w:rPr>
              <w:t>Family Notification</w:t>
            </w:r>
            <w:r w:rsidR="00FB01C1">
              <w:rPr>
                <w:noProof/>
                <w:webHidden/>
              </w:rPr>
              <w:tab/>
            </w:r>
            <w:r w:rsidR="00FB01C1">
              <w:rPr>
                <w:noProof/>
                <w:webHidden/>
              </w:rPr>
              <w:fldChar w:fldCharType="begin"/>
            </w:r>
            <w:r w:rsidR="00FB01C1">
              <w:rPr>
                <w:noProof/>
                <w:webHidden/>
              </w:rPr>
              <w:instrText xml:space="preserve"> PAGEREF _Toc51083182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23FD5D45" w14:textId="6571DE50" w:rsidR="00FB01C1" w:rsidRDefault="00000000">
          <w:pPr>
            <w:pStyle w:val="TOC1"/>
            <w:tabs>
              <w:tab w:val="right" w:leader="dot" w:pos="9350"/>
            </w:tabs>
            <w:rPr>
              <w:rFonts w:cstheme="minorBidi"/>
              <w:noProof/>
              <w:sz w:val="24"/>
              <w:szCs w:val="24"/>
            </w:rPr>
          </w:pPr>
          <w:hyperlink w:anchor="_Toc51083183" w:history="1">
            <w:r w:rsidR="00FB01C1" w:rsidRPr="00732A70">
              <w:rPr>
                <w:rStyle w:val="Hyperlink"/>
                <w:noProof/>
              </w:rPr>
              <w:t>Academic Actions</w:t>
            </w:r>
            <w:r w:rsidR="00FB01C1">
              <w:rPr>
                <w:noProof/>
                <w:webHidden/>
              </w:rPr>
              <w:tab/>
            </w:r>
            <w:r w:rsidR="00FB01C1">
              <w:rPr>
                <w:noProof/>
                <w:webHidden/>
              </w:rPr>
              <w:fldChar w:fldCharType="begin"/>
            </w:r>
            <w:r w:rsidR="00FB01C1">
              <w:rPr>
                <w:noProof/>
                <w:webHidden/>
              </w:rPr>
              <w:instrText xml:space="preserve"> PAGEREF _Toc51083183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49EFE201" w14:textId="17F8CBA1" w:rsidR="00FB01C1" w:rsidRDefault="00000000">
          <w:pPr>
            <w:pStyle w:val="TOC1"/>
            <w:tabs>
              <w:tab w:val="right" w:leader="dot" w:pos="9350"/>
            </w:tabs>
            <w:rPr>
              <w:rFonts w:cstheme="minorBidi"/>
              <w:noProof/>
              <w:sz w:val="24"/>
              <w:szCs w:val="24"/>
            </w:rPr>
          </w:pPr>
          <w:hyperlink w:anchor="_Toc51083184" w:history="1">
            <w:r w:rsidR="00FB01C1" w:rsidRPr="00732A70">
              <w:rPr>
                <w:rStyle w:val="Hyperlink"/>
                <w:noProof/>
              </w:rPr>
              <w:t>Registrarial Appeals</w:t>
            </w:r>
            <w:r w:rsidR="00FB01C1">
              <w:rPr>
                <w:noProof/>
                <w:webHidden/>
              </w:rPr>
              <w:tab/>
            </w:r>
            <w:r w:rsidR="00FB01C1">
              <w:rPr>
                <w:noProof/>
                <w:webHidden/>
              </w:rPr>
              <w:fldChar w:fldCharType="begin"/>
            </w:r>
            <w:r w:rsidR="00FB01C1">
              <w:rPr>
                <w:noProof/>
                <w:webHidden/>
              </w:rPr>
              <w:instrText xml:space="preserve"> PAGEREF _Toc51083184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12BE1436" w14:textId="15359B66" w:rsidR="00FB01C1" w:rsidRDefault="00000000">
          <w:pPr>
            <w:pStyle w:val="TOC1"/>
            <w:tabs>
              <w:tab w:val="right" w:leader="dot" w:pos="9350"/>
            </w:tabs>
            <w:rPr>
              <w:rFonts w:cstheme="minorBidi"/>
              <w:noProof/>
              <w:sz w:val="24"/>
              <w:szCs w:val="24"/>
            </w:rPr>
          </w:pPr>
          <w:hyperlink w:anchor="_Toc51083185" w:history="1">
            <w:r w:rsidR="00FB01C1" w:rsidRPr="00732A70">
              <w:rPr>
                <w:rStyle w:val="Hyperlink"/>
                <w:noProof/>
              </w:rPr>
              <w:t>Overview of Academic Honor Principle and Conduct Cases</w:t>
            </w:r>
            <w:r w:rsidR="00FB01C1">
              <w:rPr>
                <w:noProof/>
                <w:webHidden/>
              </w:rPr>
              <w:tab/>
            </w:r>
            <w:r w:rsidR="00FB01C1">
              <w:rPr>
                <w:noProof/>
                <w:webHidden/>
              </w:rPr>
              <w:fldChar w:fldCharType="begin"/>
            </w:r>
            <w:r w:rsidR="00FB01C1">
              <w:rPr>
                <w:noProof/>
                <w:webHidden/>
              </w:rPr>
              <w:instrText xml:space="preserve"> PAGEREF _Toc51083185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211A18E9" w14:textId="12722AA8" w:rsidR="00FB01C1" w:rsidRDefault="00000000">
          <w:pPr>
            <w:pStyle w:val="TOC1"/>
            <w:tabs>
              <w:tab w:val="right" w:leader="dot" w:pos="9350"/>
            </w:tabs>
            <w:rPr>
              <w:rFonts w:cstheme="minorBidi"/>
              <w:noProof/>
              <w:sz w:val="24"/>
              <w:szCs w:val="24"/>
            </w:rPr>
          </w:pPr>
          <w:hyperlink w:anchor="_Toc51083186" w:history="1">
            <w:r w:rsidR="00FB01C1" w:rsidRPr="00732A70">
              <w:rPr>
                <w:rStyle w:val="Hyperlink"/>
                <w:noProof/>
              </w:rPr>
              <w:t>Academic Honor Principle</w:t>
            </w:r>
            <w:r w:rsidR="00FB01C1">
              <w:rPr>
                <w:noProof/>
                <w:webHidden/>
              </w:rPr>
              <w:tab/>
            </w:r>
            <w:r w:rsidR="00FB01C1">
              <w:rPr>
                <w:noProof/>
                <w:webHidden/>
              </w:rPr>
              <w:fldChar w:fldCharType="begin"/>
            </w:r>
            <w:r w:rsidR="00FB01C1">
              <w:rPr>
                <w:noProof/>
                <w:webHidden/>
              </w:rPr>
              <w:instrText xml:space="preserve"> PAGEREF _Toc51083186 \h </w:instrText>
            </w:r>
            <w:r w:rsidR="00FB01C1">
              <w:rPr>
                <w:noProof/>
                <w:webHidden/>
              </w:rPr>
            </w:r>
            <w:r w:rsidR="00FB01C1">
              <w:rPr>
                <w:noProof/>
                <w:webHidden/>
              </w:rPr>
              <w:fldChar w:fldCharType="separate"/>
            </w:r>
            <w:r w:rsidR="00FB01C1">
              <w:rPr>
                <w:noProof/>
                <w:webHidden/>
              </w:rPr>
              <w:t>5</w:t>
            </w:r>
            <w:r w:rsidR="00FB01C1">
              <w:rPr>
                <w:noProof/>
                <w:webHidden/>
              </w:rPr>
              <w:fldChar w:fldCharType="end"/>
            </w:r>
          </w:hyperlink>
        </w:p>
        <w:p w14:paraId="013A6C74" w14:textId="45C63A80" w:rsidR="00FB01C1" w:rsidRDefault="00000000">
          <w:pPr>
            <w:pStyle w:val="TOC2"/>
            <w:tabs>
              <w:tab w:val="right" w:leader="dot" w:pos="9350"/>
            </w:tabs>
            <w:rPr>
              <w:rFonts w:cstheme="minorBidi"/>
              <w:noProof/>
              <w:sz w:val="24"/>
              <w:szCs w:val="24"/>
            </w:rPr>
          </w:pPr>
          <w:hyperlink w:anchor="_Toc51083187" w:history="1">
            <w:r w:rsidR="00FB01C1" w:rsidRPr="00732A70">
              <w:rPr>
                <w:rStyle w:val="Hyperlink"/>
                <w:noProof/>
              </w:rPr>
              <w:t>Types of Violations (AHP)</w:t>
            </w:r>
            <w:r w:rsidR="00FB01C1">
              <w:rPr>
                <w:noProof/>
                <w:webHidden/>
              </w:rPr>
              <w:tab/>
            </w:r>
            <w:r w:rsidR="00FB01C1">
              <w:rPr>
                <w:noProof/>
                <w:webHidden/>
              </w:rPr>
              <w:fldChar w:fldCharType="begin"/>
            </w:r>
            <w:r w:rsidR="00FB01C1">
              <w:rPr>
                <w:noProof/>
                <w:webHidden/>
              </w:rPr>
              <w:instrText xml:space="preserve"> PAGEREF _Toc51083187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95F4E65" w14:textId="5F47D835" w:rsidR="00FB01C1" w:rsidRDefault="00000000">
          <w:pPr>
            <w:pStyle w:val="TOC1"/>
            <w:tabs>
              <w:tab w:val="right" w:leader="dot" w:pos="9350"/>
            </w:tabs>
            <w:rPr>
              <w:rFonts w:cstheme="minorBidi"/>
              <w:noProof/>
              <w:sz w:val="24"/>
              <w:szCs w:val="24"/>
            </w:rPr>
          </w:pPr>
          <w:hyperlink w:anchor="_Toc51083188" w:history="1">
            <w:r w:rsidR="00FB01C1" w:rsidRPr="00732A70">
              <w:rPr>
                <w:rStyle w:val="Hyperlink"/>
                <w:noProof/>
              </w:rPr>
              <w:t>COS-Level Conduct Cases</w:t>
            </w:r>
            <w:r w:rsidR="00FB01C1">
              <w:rPr>
                <w:noProof/>
                <w:webHidden/>
              </w:rPr>
              <w:tab/>
            </w:r>
            <w:r w:rsidR="00FB01C1">
              <w:rPr>
                <w:noProof/>
                <w:webHidden/>
              </w:rPr>
              <w:fldChar w:fldCharType="begin"/>
            </w:r>
            <w:r w:rsidR="00FB01C1">
              <w:rPr>
                <w:noProof/>
                <w:webHidden/>
              </w:rPr>
              <w:instrText xml:space="preserve"> PAGEREF _Toc51083188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184F51A3" w14:textId="2C3FDB31" w:rsidR="00FB01C1" w:rsidRDefault="00000000">
          <w:pPr>
            <w:pStyle w:val="TOC1"/>
            <w:tabs>
              <w:tab w:val="right" w:leader="dot" w:pos="9350"/>
            </w:tabs>
            <w:rPr>
              <w:rFonts w:cstheme="minorBidi"/>
              <w:noProof/>
              <w:sz w:val="24"/>
              <w:szCs w:val="24"/>
            </w:rPr>
          </w:pPr>
          <w:hyperlink w:anchor="_Toc51083189" w:history="1">
            <w:r w:rsidR="00FB01C1" w:rsidRPr="00732A70">
              <w:rPr>
                <w:rStyle w:val="Hyperlink"/>
                <w:noProof/>
              </w:rPr>
              <w:t>Title IX Cases</w:t>
            </w:r>
            <w:r w:rsidR="00FB01C1">
              <w:rPr>
                <w:noProof/>
                <w:webHidden/>
              </w:rPr>
              <w:tab/>
            </w:r>
            <w:r w:rsidR="00FB01C1">
              <w:rPr>
                <w:noProof/>
                <w:webHidden/>
              </w:rPr>
              <w:fldChar w:fldCharType="begin"/>
            </w:r>
            <w:r w:rsidR="00FB01C1">
              <w:rPr>
                <w:noProof/>
                <w:webHidden/>
              </w:rPr>
              <w:instrText xml:space="preserve"> PAGEREF _Toc51083189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5FB8A18" w14:textId="21ECABC6" w:rsidR="00FB01C1" w:rsidRDefault="00000000">
          <w:pPr>
            <w:pStyle w:val="TOC2"/>
            <w:tabs>
              <w:tab w:val="right" w:leader="dot" w:pos="9350"/>
            </w:tabs>
            <w:rPr>
              <w:rFonts w:cstheme="minorBidi"/>
              <w:noProof/>
              <w:sz w:val="24"/>
              <w:szCs w:val="24"/>
            </w:rPr>
          </w:pPr>
          <w:hyperlink w:anchor="_Toc51083190" w:history="1">
            <w:r w:rsidR="00FB01C1" w:rsidRPr="00732A70">
              <w:rPr>
                <w:rStyle w:val="Hyperlink"/>
                <w:noProof/>
              </w:rPr>
              <w:t>Sexual Assault Investigations</w:t>
            </w:r>
            <w:r w:rsidR="00FB01C1">
              <w:rPr>
                <w:noProof/>
                <w:webHidden/>
              </w:rPr>
              <w:tab/>
            </w:r>
            <w:r w:rsidR="00FB01C1">
              <w:rPr>
                <w:noProof/>
                <w:webHidden/>
              </w:rPr>
              <w:fldChar w:fldCharType="begin"/>
            </w:r>
            <w:r w:rsidR="00FB01C1">
              <w:rPr>
                <w:noProof/>
                <w:webHidden/>
              </w:rPr>
              <w:instrText xml:space="preserve"> PAGEREF _Toc51083190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0DED972F" w14:textId="761A93AB" w:rsidR="00FB01C1" w:rsidRDefault="00000000">
          <w:pPr>
            <w:pStyle w:val="TOC1"/>
            <w:tabs>
              <w:tab w:val="right" w:leader="dot" w:pos="9350"/>
            </w:tabs>
            <w:rPr>
              <w:rFonts w:cstheme="minorBidi"/>
              <w:noProof/>
              <w:sz w:val="24"/>
              <w:szCs w:val="24"/>
            </w:rPr>
          </w:pPr>
          <w:hyperlink w:anchor="_Toc51083191" w:history="1">
            <w:r w:rsidR="00FB01C1" w:rsidRPr="00732A70">
              <w:rPr>
                <w:rStyle w:val="Hyperlink"/>
                <w:noProof/>
              </w:rPr>
              <w:t>Organizational Misconduct</w:t>
            </w:r>
            <w:r w:rsidR="00FB01C1">
              <w:rPr>
                <w:noProof/>
                <w:webHidden/>
              </w:rPr>
              <w:tab/>
            </w:r>
            <w:r w:rsidR="00FB01C1">
              <w:rPr>
                <w:noProof/>
                <w:webHidden/>
              </w:rPr>
              <w:fldChar w:fldCharType="begin"/>
            </w:r>
            <w:r w:rsidR="00FB01C1">
              <w:rPr>
                <w:noProof/>
                <w:webHidden/>
              </w:rPr>
              <w:instrText xml:space="preserve"> PAGEREF _Toc51083191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6ECD9F18" w14:textId="1D51F2A7" w:rsidR="00FB01C1" w:rsidRDefault="00000000">
          <w:pPr>
            <w:pStyle w:val="TOC1"/>
            <w:tabs>
              <w:tab w:val="right" w:leader="dot" w:pos="9350"/>
            </w:tabs>
            <w:rPr>
              <w:rFonts w:cstheme="minorBidi"/>
              <w:noProof/>
              <w:sz w:val="24"/>
              <w:szCs w:val="24"/>
            </w:rPr>
          </w:pPr>
          <w:hyperlink w:anchor="_Toc51083192" w:history="1">
            <w:r w:rsidR="00FB01C1" w:rsidRPr="00732A70">
              <w:rPr>
                <w:rStyle w:val="Hyperlink"/>
                <w:noProof/>
              </w:rPr>
              <w:t>Administrative Hearings and Educational Referrals</w:t>
            </w:r>
            <w:r w:rsidR="00FB01C1">
              <w:rPr>
                <w:noProof/>
                <w:webHidden/>
              </w:rPr>
              <w:tab/>
            </w:r>
            <w:r w:rsidR="00FB01C1">
              <w:rPr>
                <w:noProof/>
                <w:webHidden/>
              </w:rPr>
              <w:fldChar w:fldCharType="begin"/>
            </w:r>
            <w:r w:rsidR="00FB01C1">
              <w:rPr>
                <w:noProof/>
                <w:webHidden/>
              </w:rPr>
              <w:instrText xml:space="preserve"> PAGEREF _Toc51083192 \h </w:instrText>
            </w:r>
            <w:r w:rsidR="00FB01C1">
              <w:rPr>
                <w:noProof/>
                <w:webHidden/>
              </w:rPr>
            </w:r>
            <w:r w:rsidR="00FB01C1">
              <w:rPr>
                <w:noProof/>
                <w:webHidden/>
              </w:rPr>
              <w:fldChar w:fldCharType="separate"/>
            </w:r>
            <w:r w:rsidR="00FB01C1">
              <w:rPr>
                <w:noProof/>
                <w:webHidden/>
              </w:rPr>
              <w:t>9</w:t>
            </w:r>
            <w:r w:rsidR="00FB01C1">
              <w:rPr>
                <w:noProof/>
                <w:webHidden/>
              </w:rPr>
              <w:fldChar w:fldCharType="end"/>
            </w:r>
          </w:hyperlink>
        </w:p>
        <w:p w14:paraId="615D3E53" w14:textId="02626536" w:rsidR="00FB01C1" w:rsidRDefault="00000000">
          <w:pPr>
            <w:pStyle w:val="TOC1"/>
            <w:tabs>
              <w:tab w:val="right" w:leader="dot" w:pos="9350"/>
            </w:tabs>
            <w:rPr>
              <w:rFonts w:cstheme="minorBidi"/>
              <w:noProof/>
              <w:sz w:val="24"/>
              <w:szCs w:val="24"/>
            </w:rPr>
          </w:pPr>
          <w:hyperlink w:anchor="_Toc51083193" w:history="1">
            <w:r w:rsidR="00FB01C1" w:rsidRPr="00732A70">
              <w:rPr>
                <w:rStyle w:val="Hyperlink"/>
                <w:noProof/>
              </w:rPr>
              <w:t>Acknowledgement</w:t>
            </w:r>
            <w:r w:rsidR="00FB01C1">
              <w:rPr>
                <w:noProof/>
                <w:webHidden/>
              </w:rPr>
              <w:tab/>
            </w:r>
            <w:r w:rsidR="00FB01C1">
              <w:rPr>
                <w:noProof/>
                <w:webHidden/>
              </w:rPr>
              <w:fldChar w:fldCharType="begin"/>
            </w:r>
            <w:r w:rsidR="00FB01C1">
              <w:rPr>
                <w:noProof/>
                <w:webHidden/>
              </w:rPr>
              <w:instrText xml:space="preserve"> PAGEREF _Toc51083193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512CD17D" w14:textId="00569CB6" w:rsidR="00FB01C1" w:rsidRDefault="00000000">
          <w:pPr>
            <w:pStyle w:val="TOC1"/>
            <w:tabs>
              <w:tab w:val="right" w:leader="dot" w:pos="9350"/>
            </w:tabs>
            <w:rPr>
              <w:rFonts w:cstheme="minorBidi"/>
              <w:noProof/>
              <w:sz w:val="24"/>
              <w:szCs w:val="24"/>
            </w:rPr>
          </w:pPr>
          <w:hyperlink w:anchor="_Toc51083194" w:history="1">
            <w:r w:rsidR="00FB01C1" w:rsidRPr="00732A70">
              <w:rPr>
                <w:rStyle w:val="Hyperlink"/>
                <w:noProof/>
              </w:rPr>
              <w:t>Feedback</w:t>
            </w:r>
            <w:r w:rsidR="00FB01C1">
              <w:rPr>
                <w:noProof/>
                <w:webHidden/>
              </w:rPr>
              <w:tab/>
            </w:r>
            <w:r w:rsidR="00FB01C1">
              <w:rPr>
                <w:noProof/>
                <w:webHidden/>
              </w:rPr>
              <w:fldChar w:fldCharType="begin"/>
            </w:r>
            <w:r w:rsidR="00FB01C1">
              <w:rPr>
                <w:noProof/>
                <w:webHidden/>
              </w:rPr>
              <w:instrText xml:space="preserve"> PAGEREF _Toc51083194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7942E4A1" w14:textId="3F6D925C" w:rsidR="001049F5" w:rsidRDefault="001049F5">
          <w:r w:rsidRPr="00111F6F">
            <w:rPr>
              <w:rFonts w:cstheme="minorHAnsi"/>
              <w:noProof/>
              <w:sz w:val="24"/>
              <w:szCs w:val="24"/>
            </w:rPr>
            <w:fldChar w:fldCharType="end"/>
          </w:r>
        </w:p>
      </w:sdtContent>
    </w:sdt>
    <w:bookmarkEnd w:id="0"/>
    <w:p w14:paraId="31E898EF" w14:textId="0AD6BA38" w:rsidR="0078111F" w:rsidRDefault="0078111F" w:rsidP="006039A8">
      <w:pPr>
        <w:ind w:left="720"/>
        <w:contextualSpacing/>
        <w:rPr>
          <w:rFonts w:asciiTheme="majorHAnsi" w:eastAsiaTheme="majorEastAsia" w:hAnsiTheme="majorHAnsi" w:cstheme="majorBidi"/>
          <w:color w:val="306785" w:themeColor="accent1" w:themeShade="BF"/>
          <w:sz w:val="32"/>
          <w:szCs w:val="32"/>
        </w:rPr>
      </w:pPr>
    </w:p>
    <w:p w14:paraId="6AB2BD39"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6122D77"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2670E70"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26A1C138"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267E55B7"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57AB1530"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5958A5C2" w14:textId="77777777"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38DBDCB8" w14:textId="06C23D99" w:rsidR="002366A4" w:rsidRDefault="002366A4" w:rsidP="006039A8">
      <w:pPr>
        <w:ind w:left="720"/>
        <w:contextualSpacing/>
        <w:rPr>
          <w:rFonts w:asciiTheme="majorHAnsi" w:eastAsiaTheme="majorEastAsia" w:hAnsiTheme="majorHAnsi" w:cstheme="majorBidi"/>
          <w:color w:val="306785" w:themeColor="accent1" w:themeShade="BF"/>
          <w:sz w:val="32"/>
          <w:szCs w:val="32"/>
        </w:rPr>
      </w:pPr>
    </w:p>
    <w:p w14:paraId="64C1C5C9" w14:textId="77777777" w:rsidR="00CF51FF" w:rsidRDefault="00CF51FF" w:rsidP="006039A8">
      <w:pPr>
        <w:ind w:left="720"/>
        <w:contextualSpacing/>
        <w:rPr>
          <w:rFonts w:asciiTheme="majorHAnsi" w:eastAsiaTheme="majorEastAsia" w:hAnsiTheme="majorHAnsi" w:cstheme="majorBidi"/>
          <w:color w:val="306785" w:themeColor="accent1" w:themeShade="BF"/>
          <w:sz w:val="32"/>
          <w:szCs w:val="32"/>
        </w:rPr>
      </w:pPr>
    </w:p>
    <w:p w14:paraId="65AF3F21" w14:textId="77777777" w:rsidR="002366A4" w:rsidRPr="0078111F" w:rsidRDefault="002366A4" w:rsidP="006039A8">
      <w:pPr>
        <w:ind w:left="720"/>
        <w:contextualSpacing/>
      </w:pPr>
    </w:p>
    <w:p w14:paraId="6738CC2A" w14:textId="77777777" w:rsidR="002366A4" w:rsidRPr="0078111F" w:rsidRDefault="002366A4" w:rsidP="002366A4">
      <w:pPr>
        <w:keepNext/>
        <w:keepLines/>
        <w:spacing w:before="240" w:after="0"/>
        <w:outlineLvl w:val="0"/>
        <w:rPr>
          <w:rFonts w:asciiTheme="majorHAnsi" w:eastAsiaTheme="majorEastAsia" w:hAnsiTheme="majorHAnsi" w:cstheme="majorBidi"/>
          <w:color w:val="306785" w:themeColor="accent1" w:themeShade="BF"/>
          <w:sz w:val="32"/>
          <w:szCs w:val="32"/>
        </w:rPr>
      </w:pPr>
      <w:bookmarkStart w:id="1" w:name="_Toc51083178"/>
      <w:bookmarkStart w:id="2" w:name="_Toc434568853"/>
      <w:bookmarkStart w:id="3" w:name="_Toc465167544"/>
      <w:r w:rsidRPr="0078111F">
        <w:rPr>
          <w:rFonts w:asciiTheme="majorHAnsi" w:eastAsiaTheme="majorEastAsia" w:hAnsiTheme="majorHAnsi" w:cstheme="majorBidi"/>
          <w:color w:val="306785" w:themeColor="accent1" w:themeShade="BF"/>
          <w:sz w:val="32"/>
          <w:szCs w:val="32"/>
        </w:rPr>
        <w:lastRenderedPageBreak/>
        <w:t>Introduction</w:t>
      </w:r>
      <w:bookmarkEnd w:id="1"/>
    </w:p>
    <w:p w14:paraId="08FD5E3F" w14:textId="77262ABD" w:rsidR="002366A4" w:rsidRPr="0078111F" w:rsidRDefault="002366A4" w:rsidP="002366A4">
      <w:r w:rsidRPr="0078111F">
        <w:t xml:space="preserve">The Committee on Standards (COS) </w:t>
      </w:r>
      <w:r w:rsidR="00BF38D7">
        <w:t>is</w:t>
      </w:r>
      <w:r w:rsidRPr="0078111F">
        <w:t xml:space="preserve"> charged with upholding Dartmouth College’s </w:t>
      </w:r>
      <w:hyperlink r:id="rId8" w:history="1">
        <w:r w:rsidRPr="0078111F">
          <w:rPr>
            <w:color w:val="F59E00" w:themeColor="hyperlink"/>
            <w:u w:val="single"/>
          </w:rPr>
          <w:t>Standards of Conduct</w:t>
        </w:r>
      </w:hyperlink>
      <w:r w:rsidRPr="0078111F">
        <w:t xml:space="preserve"> and the </w:t>
      </w:r>
      <w:hyperlink r:id="rId9" w:history="1">
        <w:r w:rsidRPr="0078111F">
          <w:rPr>
            <w:color w:val="F59E00" w:themeColor="hyperlink"/>
            <w:u w:val="single"/>
          </w:rPr>
          <w:t>Academic Honor Principle</w:t>
        </w:r>
      </w:hyperlink>
      <w:r w:rsidRPr="0078111F">
        <w:t xml:space="preserve"> (AHP) for undergraduate students</w:t>
      </w:r>
      <w:r w:rsidR="00BF38D7">
        <w:t xml:space="preserve"> and student organizations</w:t>
      </w:r>
      <w:r w:rsidRPr="0078111F">
        <w:t xml:space="preserve">.  This report is intended to: </w:t>
      </w:r>
    </w:p>
    <w:p w14:paraId="7B155B71" w14:textId="16BE66D8" w:rsidR="002366A4" w:rsidRPr="0078111F" w:rsidRDefault="002366A4" w:rsidP="002366A4">
      <w:pPr>
        <w:numPr>
          <w:ilvl w:val="0"/>
          <w:numId w:val="2"/>
        </w:numPr>
        <w:contextualSpacing/>
      </w:pPr>
      <w:r w:rsidRPr="0078111F">
        <w:t>Share a broad overview of undergraduate conduct at the College from Summer 201</w:t>
      </w:r>
      <w:r w:rsidR="00CA753D">
        <w:t>9</w:t>
      </w:r>
      <w:r>
        <w:t xml:space="preserve"> </w:t>
      </w:r>
      <w:r w:rsidRPr="0078111F">
        <w:t>- Spring 20</w:t>
      </w:r>
      <w:r w:rsidR="00CA753D">
        <w:t>20</w:t>
      </w:r>
      <w:r w:rsidRPr="0078111F">
        <w:t>;</w:t>
      </w:r>
    </w:p>
    <w:p w14:paraId="7D6205F8" w14:textId="77777777" w:rsidR="002366A4" w:rsidRPr="0078111F" w:rsidRDefault="002366A4" w:rsidP="002366A4">
      <w:pPr>
        <w:numPr>
          <w:ilvl w:val="0"/>
          <w:numId w:val="2"/>
        </w:numPr>
        <w:contextualSpacing/>
      </w:pPr>
      <w:r w:rsidRPr="0078111F">
        <w:t>Promote transparency of and knowledge about our systems of holding undergraduate students and student organizations accountable; and,</w:t>
      </w:r>
    </w:p>
    <w:p w14:paraId="348BE81E" w14:textId="77777777" w:rsidR="002366A4" w:rsidRDefault="002366A4" w:rsidP="002366A4">
      <w:pPr>
        <w:numPr>
          <w:ilvl w:val="0"/>
          <w:numId w:val="2"/>
        </w:numPr>
        <w:contextualSpacing/>
      </w:pPr>
      <w:r w:rsidRPr="0078111F">
        <w:t xml:space="preserve">Engage the community in the prevention of conduct that harms or has the potential to harm individuals, our learning community, and the integrity of the degrees that we award. </w:t>
      </w:r>
    </w:p>
    <w:p w14:paraId="6D409A02" w14:textId="77777777" w:rsidR="00E776B6" w:rsidRDefault="00E776B6" w:rsidP="00E776B6">
      <w:pPr>
        <w:ind w:left="360"/>
        <w:contextualSpacing/>
      </w:pPr>
    </w:p>
    <w:p w14:paraId="433FE61C"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06785" w:themeColor="accent1" w:themeShade="BF"/>
          <w:sz w:val="26"/>
          <w:szCs w:val="26"/>
        </w:rPr>
      </w:pPr>
      <w:bookmarkStart w:id="4" w:name="_Toc51083179"/>
      <w:r w:rsidRPr="0078111F">
        <w:rPr>
          <w:rFonts w:asciiTheme="majorHAnsi" w:eastAsiaTheme="majorEastAsia" w:hAnsiTheme="majorHAnsi" w:cstheme="majorBidi"/>
          <w:color w:val="306785" w:themeColor="accent1" w:themeShade="BF"/>
          <w:sz w:val="26"/>
          <w:szCs w:val="26"/>
        </w:rPr>
        <w:t>Respect for Privacy</w:t>
      </w:r>
      <w:bookmarkEnd w:id="2"/>
      <w:bookmarkEnd w:id="3"/>
      <w:bookmarkEnd w:id="4"/>
    </w:p>
    <w:p w14:paraId="056B9F7C" w14:textId="30984420" w:rsidR="0078111F" w:rsidRPr="0078111F" w:rsidRDefault="0078111F" w:rsidP="0078111F">
      <w:r w:rsidRPr="0078111F">
        <w:t xml:space="preserve">This report is publicly available; families, alumni, and other stakeholders are vested in the well-being and success of undergraduate students, have interest in this data, </w:t>
      </w:r>
      <w:r w:rsidR="008934A8" w:rsidRPr="0078111F">
        <w:t>and may</w:t>
      </w:r>
      <w:r w:rsidRPr="0078111F">
        <w:t xml:space="preserve"> influence choices of undergraduate students.  </w:t>
      </w:r>
    </w:p>
    <w:p w14:paraId="0CD20D53" w14:textId="09FDC5F1" w:rsidR="0078111F" w:rsidRPr="0078111F" w:rsidRDefault="0078111F" w:rsidP="0078111F">
      <w:r w:rsidRPr="0078111F">
        <w:t>Our investment in the transparency of our process does not eclipse our regard for the privacy of the individuals involved.  The data in this report is purposefully presented in the aggregate.  This report is not intended as a forum for discussion of individual cases</w:t>
      </w:r>
      <w:r w:rsidR="00EB7B11">
        <w:t>,</w:t>
      </w:r>
      <w:r w:rsidRPr="0078111F">
        <w:t xml:space="preserve"> and we discourage speculation about the identity of the students who met with the committees or with a hearing officer. </w:t>
      </w:r>
    </w:p>
    <w:p w14:paraId="7155E23F"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06785" w:themeColor="accent1" w:themeShade="BF"/>
          <w:sz w:val="26"/>
          <w:szCs w:val="26"/>
        </w:rPr>
      </w:pPr>
      <w:bookmarkStart w:id="5" w:name="_Toc434568854"/>
      <w:bookmarkStart w:id="6" w:name="_Toc465167545"/>
      <w:bookmarkStart w:id="7" w:name="_Toc51083180"/>
      <w:r w:rsidRPr="0078111F">
        <w:rPr>
          <w:rFonts w:asciiTheme="majorHAnsi" w:eastAsiaTheme="majorEastAsia" w:hAnsiTheme="majorHAnsi" w:cstheme="majorBidi"/>
          <w:color w:val="306785" w:themeColor="accent1" w:themeShade="BF"/>
          <w:sz w:val="26"/>
          <w:szCs w:val="26"/>
        </w:rPr>
        <w:t>Conduct Process</w:t>
      </w:r>
      <w:bookmarkEnd w:id="5"/>
      <w:bookmarkEnd w:id="6"/>
      <w:bookmarkEnd w:id="7"/>
      <w:r w:rsidRPr="0078111F">
        <w:rPr>
          <w:rFonts w:asciiTheme="majorHAnsi" w:eastAsiaTheme="majorEastAsia" w:hAnsiTheme="majorHAnsi" w:cstheme="majorBidi"/>
          <w:color w:val="306785" w:themeColor="accent1" w:themeShade="BF"/>
          <w:sz w:val="26"/>
          <w:szCs w:val="26"/>
        </w:rPr>
        <w:t xml:space="preserve"> </w:t>
      </w:r>
    </w:p>
    <w:p w14:paraId="06D57477" w14:textId="7DD5B186" w:rsidR="0078111F" w:rsidRPr="0078111F" w:rsidRDefault="0078111F" w:rsidP="0078111F">
      <w:r w:rsidRPr="0078111F">
        <w:t xml:space="preserve">When a report is forwarded to </w:t>
      </w:r>
      <w:r w:rsidR="002D0807">
        <w:t>the Office of Community Standards &amp; Accountability</w:t>
      </w:r>
      <w:r w:rsidRPr="0078111F">
        <w:t xml:space="preserve"> about student conduct that</w:t>
      </w:r>
      <w:r w:rsidR="00F16C3A">
        <w:t xml:space="preserve">, </w:t>
      </w:r>
      <w:r w:rsidRPr="0078111F">
        <w:t>if true</w:t>
      </w:r>
      <w:r w:rsidR="00F16C3A">
        <w:t>,</w:t>
      </w:r>
      <w:r w:rsidRPr="0078111F">
        <w:t xml:space="preserve"> would be a violation of our standards, we consider the conduct history of the student, the type of behavior alleged, and the harm or threat of harm that may have occurred in deciding the appropriate mode of investigation and/or resolution.  Possibilities include:</w:t>
      </w:r>
    </w:p>
    <w:p w14:paraId="45E1AA29" w14:textId="0DA7C8A2" w:rsidR="0078111F" w:rsidRPr="0078111F" w:rsidRDefault="0078111F" w:rsidP="0078111F">
      <w:pPr>
        <w:numPr>
          <w:ilvl w:val="0"/>
          <w:numId w:val="1"/>
        </w:numPr>
        <w:contextualSpacing/>
      </w:pPr>
      <w:r w:rsidRPr="0078111F">
        <w:t>A referral to the Brief Alcohol Screening and Intervention for College Students (BASICS) or other intervention recommended by Dartmouth’s Alcohol and Other Drug Program (DAODAP) for first violations of the alcohol policy and most Good Samaritan calls.</w:t>
      </w:r>
    </w:p>
    <w:p w14:paraId="7D49B1D2" w14:textId="210386B1" w:rsidR="0078111F" w:rsidRPr="0078111F" w:rsidRDefault="0078111F" w:rsidP="0078111F">
      <w:pPr>
        <w:numPr>
          <w:ilvl w:val="0"/>
          <w:numId w:val="1"/>
        </w:numPr>
        <w:contextualSpacing/>
      </w:pPr>
      <w:r w:rsidRPr="0078111F">
        <w:t>An administrative level hearing with a des</w:t>
      </w:r>
      <w:r w:rsidR="006039A8">
        <w:t>ignated hearing officer for</w:t>
      </w:r>
      <w:r w:rsidRPr="0078111F">
        <w:t xml:space="preserve"> minor misconduct.  Outcomes can include restitution, educational or community restoration efforts, completion of a substance use or other m</w:t>
      </w:r>
      <w:r w:rsidR="006039A8">
        <w:t>edical assessment, Warning, Reprimand</w:t>
      </w:r>
      <w:r w:rsidRPr="0078111F">
        <w:t>, or a period of College Probation.</w:t>
      </w:r>
    </w:p>
    <w:p w14:paraId="0F37B7B5" w14:textId="1F52E648" w:rsidR="0078111F" w:rsidRPr="0078111F" w:rsidRDefault="0078111F" w:rsidP="0078111F">
      <w:pPr>
        <w:numPr>
          <w:ilvl w:val="0"/>
          <w:numId w:val="1"/>
        </w:numPr>
        <w:contextualSpacing/>
      </w:pPr>
      <w:r w:rsidRPr="0078111F">
        <w:t>A COS hearing for more serious misconduct or where there is a history of repeated misconduct.  Examples of misconduct referred to the COS include violations of the Academic Honor Principle, dating violence, stalking, harassment, driving under the influence of alcohol or other drugs, trafficking or distribution of drugs,</w:t>
      </w:r>
      <w:r w:rsidR="006039A8">
        <w:t xml:space="preserve"> service of hard alcohol,</w:t>
      </w:r>
      <w:r w:rsidRPr="0078111F">
        <w:t xml:space="preserve"> physical assaults, arson, and bomb threats.  The COS can impose any of the outcomes described above.  They can also Suspend or Separate (expel) an undergraduate student from the College.</w:t>
      </w:r>
    </w:p>
    <w:p w14:paraId="678F5C50" w14:textId="329CF81E" w:rsidR="0078111F" w:rsidRPr="00111F6F" w:rsidRDefault="004E46C7" w:rsidP="0078111F">
      <w:pPr>
        <w:numPr>
          <w:ilvl w:val="0"/>
          <w:numId w:val="1"/>
        </w:numPr>
        <w:contextualSpacing/>
      </w:pPr>
      <w:r w:rsidRPr="00111F6F">
        <w:lastRenderedPageBreak/>
        <w:t xml:space="preserve">Following an investigation and determination of responsibility </w:t>
      </w:r>
      <w:r w:rsidR="00E51DD1" w:rsidRPr="00111F6F">
        <w:t xml:space="preserve">made by a qualified investigator, </w:t>
      </w:r>
      <w:r w:rsidR="00702FF7" w:rsidRPr="00111F6F">
        <w:t>a sanctioning panel</w:t>
      </w:r>
      <w:r w:rsidR="00E51DD1" w:rsidRPr="00111F6F">
        <w:t xml:space="preserve"> determines sanctions in sexual assault situations</w:t>
      </w:r>
      <w:r w:rsidR="00702FF7" w:rsidRPr="00111F6F">
        <w:rPr>
          <w:rStyle w:val="FootnoteReference"/>
        </w:rPr>
        <w:footnoteReference w:id="1"/>
      </w:r>
      <w:r w:rsidR="00E51DD1" w:rsidRPr="00111F6F">
        <w:t xml:space="preserve">.  </w:t>
      </w:r>
    </w:p>
    <w:p w14:paraId="01D566CC" w14:textId="77777777" w:rsidR="00D66631" w:rsidRDefault="00D66631"/>
    <w:p w14:paraId="7BC3C0DF" w14:textId="4172BCE4" w:rsidR="0078111F" w:rsidRDefault="0078111F" w:rsidP="0078111F">
      <w:r>
        <w:t xml:space="preserve">As per our memo of understanding with the Hanover Police Department, the Department of Safety &amp; Security must also </w:t>
      </w:r>
      <w:r w:rsidR="00E51DD1">
        <w:t xml:space="preserve">report </w:t>
      </w:r>
      <w:r>
        <w:t>certain allegations to local police.  Reports of drug trafficking, confiscated drugs, false identification cards, aggravated assault, reports of sexual assault involving a minor, reports involving use of a weapon, arson, burglary, robbery, theft (value greater than $1,000), fraud, domestic violence, and homicide must be reported.  The College also forwards reports of sexual assault</w:t>
      </w:r>
      <w:r w:rsidR="006039A8">
        <w:t>, which may</w:t>
      </w:r>
      <w:r>
        <w:t xml:space="preserve"> be anonymized at the request of the reporting p</w:t>
      </w:r>
      <w:r w:rsidR="006039A8">
        <w:t>erson</w:t>
      </w:r>
      <w:r w:rsidR="00E51DD1">
        <w:t>,</w:t>
      </w:r>
      <w:r w:rsidR="006039A8">
        <w:t xml:space="preserve"> if no minors are involved</w:t>
      </w:r>
      <w:r>
        <w:t>.</w:t>
      </w:r>
    </w:p>
    <w:p w14:paraId="1FCB2A51" w14:textId="77777777" w:rsidR="0078111F" w:rsidRDefault="0078111F" w:rsidP="0078111F">
      <w:pPr>
        <w:pStyle w:val="Heading2"/>
        <w:numPr>
          <w:ilvl w:val="1"/>
          <w:numId w:val="0"/>
        </w:numPr>
        <w:ind w:left="576" w:hanging="576"/>
      </w:pPr>
      <w:bookmarkStart w:id="8" w:name="_Toc434568855"/>
      <w:bookmarkStart w:id="9" w:name="_Toc465167546"/>
      <w:bookmarkStart w:id="10" w:name="_Toc51083181"/>
      <w:r>
        <w:t>Other COS Functions</w:t>
      </w:r>
      <w:bookmarkEnd w:id="8"/>
      <w:bookmarkEnd w:id="9"/>
      <w:bookmarkEnd w:id="10"/>
    </w:p>
    <w:p w14:paraId="50233047" w14:textId="59E1B112" w:rsidR="0078111F" w:rsidRDefault="0078111F" w:rsidP="0078111F">
      <w:r>
        <w:t xml:space="preserve">The Committee on Standards also acts as the appellate body for academic suspensions and separations and for certain </w:t>
      </w:r>
      <w:proofErr w:type="spellStart"/>
      <w:r>
        <w:t>registrarial</w:t>
      </w:r>
      <w:proofErr w:type="spellEnd"/>
      <w:r>
        <w:t xml:space="preserve"> appeals</w:t>
      </w:r>
      <w:r w:rsidR="00833CB0">
        <w:t>.</w:t>
      </w:r>
    </w:p>
    <w:p w14:paraId="70FFFF3D" w14:textId="0563F3C4" w:rsidR="0078111F" w:rsidRDefault="0078111F" w:rsidP="0078111F">
      <w:r>
        <w:t>When an undergraduate student has been suspended or separated for unsatisfactory academic progress</w:t>
      </w:r>
      <w:r>
        <w:rPr>
          <w:rStyle w:val="FootnoteReference"/>
        </w:rPr>
        <w:footnoteReference w:id="2"/>
      </w:r>
      <w:r>
        <w:t>, they can request that a subcommittee of the COS consisting of two faculty and one staff member review that action.  In a request for review, the student may ask for the action to be converted to Academic Probation (or Suspension i</w:t>
      </w:r>
      <w:r w:rsidR="006039A8">
        <w:t>f the action was Separation) or, in rare cases, to</w:t>
      </w:r>
      <w:r>
        <w:t xml:space="preserve"> take a Medical Withdrawal in lieu of the action.  The COS considers evidence of significant extenuating circumstances which would warrant a different action.  Students requesting review of an academic action are encouraged to address their efforts throughout the term to respond to these circumstances, evaluate their academic effort and attendance throughout the term, and explain what other decisions they considered (i.e. withdrawal from the course or term). </w:t>
      </w:r>
    </w:p>
    <w:p w14:paraId="27EFB322" w14:textId="1205CCCC" w:rsidR="0078111F" w:rsidRDefault="0078111F" w:rsidP="0078111F">
      <w:r>
        <w:t xml:space="preserve">A subcommittee of the COS consisting of one student, one faculty, and one staff member can hear appeals of certain </w:t>
      </w:r>
      <w:proofErr w:type="spellStart"/>
      <w:r w:rsidR="006039A8">
        <w:t>registrarial</w:t>
      </w:r>
      <w:proofErr w:type="spellEnd"/>
      <w:r w:rsidR="006039A8">
        <w:t xml:space="preserve"> </w:t>
      </w:r>
      <w:r>
        <w:t>decisions and actions</w:t>
      </w:r>
      <w:r w:rsidR="006039A8">
        <w:t>.</w:t>
      </w:r>
      <w:r>
        <w:t xml:space="preserve"> Such appeals are infrequent.  The COS considers if there is new information that wasn’t reasonably available to the student at the time of the original decision and/or if there was a procedural error that prejudiced the original decision.  Examples of the types of decisions that can be appealed to the COS are late additions or withdrawals from a course, request for exemption of the sophomore summer residency requirement, and requests for partial exemption from the senior year requirement.  </w:t>
      </w:r>
    </w:p>
    <w:p w14:paraId="7869EF48" w14:textId="77777777" w:rsidR="0078111F" w:rsidRDefault="0078111F" w:rsidP="0078111F">
      <w:pPr>
        <w:pStyle w:val="Heading2"/>
        <w:numPr>
          <w:ilvl w:val="1"/>
          <w:numId w:val="0"/>
        </w:numPr>
        <w:ind w:left="576" w:hanging="576"/>
      </w:pPr>
      <w:bookmarkStart w:id="11" w:name="_Toc434568856"/>
      <w:bookmarkStart w:id="12" w:name="_Toc465167547"/>
      <w:bookmarkStart w:id="13" w:name="_Toc51083182"/>
      <w:r>
        <w:t>Family Notification</w:t>
      </w:r>
      <w:bookmarkEnd w:id="11"/>
      <w:bookmarkEnd w:id="12"/>
      <w:bookmarkEnd w:id="13"/>
    </w:p>
    <w:p w14:paraId="130D9B90" w14:textId="2E90FE47" w:rsidR="0078111F" w:rsidRDefault="000C0A02" w:rsidP="0078111F">
      <w:r>
        <w:t xml:space="preserve">During the </w:t>
      </w:r>
      <w:r w:rsidR="00F47EE9">
        <w:t>201</w:t>
      </w:r>
      <w:r w:rsidR="00CA753D">
        <w:t>9</w:t>
      </w:r>
      <w:r w:rsidR="00F47EE9">
        <w:t>-20</w:t>
      </w:r>
      <w:r w:rsidR="00CA753D">
        <w:t>20</w:t>
      </w:r>
      <w:r>
        <w:t xml:space="preserve"> academic year, the</w:t>
      </w:r>
      <w:r w:rsidR="0078111F">
        <w:t xml:space="preserve"> Office of </w:t>
      </w:r>
      <w:r w:rsidR="00CA753D">
        <w:t>Community Standards &amp; Accountability</w:t>
      </w:r>
      <w:r w:rsidR="0078111F">
        <w:t xml:space="preserve"> </w:t>
      </w:r>
      <w:r w:rsidR="00533B65">
        <w:t>provided</w:t>
      </w:r>
      <w:r w:rsidR="00F72483">
        <w:t xml:space="preserve"> notice </w:t>
      </w:r>
      <w:r w:rsidR="00533B65">
        <w:t>to</w:t>
      </w:r>
      <w:r w:rsidR="0078111F">
        <w:t xml:space="preserve"> parents and/or guardians if a student </w:t>
      </w:r>
      <w:r>
        <w:t>was</w:t>
      </w:r>
      <w:r w:rsidR="0078111F">
        <w:t xml:space="preserve"> responding to COS level allegations, when a COS case </w:t>
      </w:r>
      <w:r>
        <w:t>was</w:t>
      </w:r>
      <w:r w:rsidR="0078111F">
        <w:t xml:space="preserve"> resolved, and when a</w:t>
      </w:r>
      <w:r>
        <w:t>n administrative hearing resulted</w:t>
      </w:r>
      <w:r w:rsidR="0078111F">
        <w:t xml:space="preserve"> </w:t>
      </w:r>
      <w:r w:rsidR="00F72483">
        <w:t xml:space="preserve">in a </w:t>
      </w:r>
      <w:r w:rsidR="00F72483" w:rsidRPr="00A97A35">
        <w:t>serious outcome</w:t>
      </w:r>
      <w:r w:rsidR="00F47EE9" w:rsidRPr="00A97A35">
        <w:t xml:space="preserve"> involving alcohol</w:t>
      </w:r>
      <w:r w:rsidR="0078111F" w:rsidRPr="00A97A35">
        <w:t>.</w:t>
      </w:r>
      <w:r w:rsidR="0078111F">
        <w:t xml:space="preserve">  Parents and guardians </w:t>
      </w:r>
      <w:r>
        <w:t>may have been</w:t>
      </w:r>
      <w:r w:rsidR="0078111F">
        <w:t xml:space="preserve"> contacted by a staff member, usually an undergraduate dean,</w:t>
      </w:r>
      <w:r w:rsidR="004B69CC">
        <w:t xml:space="preserve"> in a health or safety emergency, such as</w:t>
      </w:r>
      <w:r w:rsidR="00533B65">
        <w:t xml:space="preserve"> in situations where</w:t>
      </w:r>
      <w:r w:rsidR="0078111F">
        <w:t xml:space="preserve"> the College </w:t>
      </w:r>
      <w:r>
        <w:t>was</w:t>
      </w:r>
      <w:r w:rsidR="0078111F">
        <w:t xml:space="preserve"> aware of </w:t>
      </w:r>
      <w:r w:rsidR="00F16C3A">
        <w:t xml:space="preserve">admission </w:t>
      </w:r>
      <w:r w:rsidR="0078111F">
        <w:t xml:space="preserve">to the </w:t>
      </w:r>
      <w:r w:rsidR="00D870C2">
        <w:t>hospital</w:t>
      </w:r>
      <w:r w:rsidR="0078111F">
        <w:t xml:space="preserve"> or if a student </w:t>
      </w:r>
      <w:r w:rsidR="00D870C2">
        <w:t>were arrested and transported to the local county jail</w:t>
      </w:r>
      <w:r w:rsidR="0078111F">
        <w:t xml:space="preserve">. </w:t>
      </w:r>
    </w:p>
    <w:p w14:paraId="0C15A747" w14:textId="77777777" w:rsidR="0078111F" w:rsidRDefault="0078111F" w:rsidP="0078111F">
      <w:pPr>
        <w:pStyle w:val="Heading1"/>
      </w:pPr>
      <w:bookmarkStart w:id="14" w:name="_Toc465167548"/>
      <w:bookmarkStart w:id="15" w:name="_Toc51083183"/>
      <w:r>
        <w:lastRenderedPageBreak/>
        <w:t>Academic Actions</w:t>
      </w:r>
      <w:bookmarkEnd w:id="14"/>
      <w:bookmarkEnd w:id="15"/>
    </w:p>
    <w:p w14:paraId="35BEF89B" w14:textId="4228D1EA" w:rsidR="0078111F" w:rsidRDefault="0078111F" w:rsidP="0078111F">
      <w:r>
        <w:t>This academic year,</w:t>
      </w:r>
      <w:r w:rsidR="00B84DB4">
        <w:t xml:space="preserve"> </w:t>
      </w:r>
      <w:r w:rsidR="00D7343E">
        <w:t xml:space="preserve">33 </w:t>
      </w:r>
      <w:r>
        <w:t xml:space="preserve">students </w:t>
      </w:r>
      <w:r w:rsidR="00F72483">
        <w:t xml:space="preserve">petitioned for </w:t>
      </w:r>
      <w:r>
        <w:t xml:space="preserve">review of an academic suspension or separation from </w:t>
      </w:r>
      <w:r w:rsidR="009C6AB6">
        <w:t xml:space="preserve">the College. The COS </w:t>
      </w:r>
      <w:r w:rsidR="009C6AB6" w:rsidRPr="00081CA9">
        <w:t xml:space="preserve">approved </w:t>
      </w:r>
      <w:r w:rsidR="00016BD8">
        <w:t>64</w:t>
      </w:r>
      <w:r w:rsidR="00B84DB4">
        <w:t xml:space="preserve">% </w:t>
      </w:r>
      <w:r w:rsidRPr="00081CA9">
        <w:t>of</w:t>
      </w:r>
      <w:r>
        <w:t xml:space="preserve"> these petitions either allowing the student to continue on Academic Probation with a defined academic recovery plan or to take a medical withdrawal in lieu of a suspension or separation. </w:t>
      </w:r>
    </w:p>
    <w:p w14:paraId="7A54136B" w14:textId="77777777" w:rsidR="0078111F" w:rsidRDefault="0078111F" w:rsidP="0078111F">
      <w:pPr>
        <w:pStyle w:val="Heading1"/>
      </w:pPr>
      <w:bookmarkStart w:id="16" w:name="_Toc465167549"/>
      <w:bookmarkStart w:id="17" w:name="_Toc51083184"/>
      <w:proofErr w:type="spellStart"/>
      <w:r>
        <w:t>Registrarial</w:t>
      </w:r>
      <w:proofErr w:type="spellEnd"/>
      <w:r>
        <w:t xml:space="preserve"> Appeals</w:t>
      </w:r>
      <w:bookmarkEnd w:id="16"/>
      <w:bookmarkEnd w:id="17"/>
    </w:p>
    <w:p w14:paraId="0679EA28" w14:textId="02E548A1" w:rsidR="0078111F" w:rsidRDefault="0078111F" w:rsidP="0078111F">
      <w:r>
        <w:t xml:space="preserve">The COS </w:t>
      </w:r>
      <w:r w:rsidR="000D1A4D">
        <w:t>heard</w:t>
      </w:r>
      <w:r w:rsidR="00135A89">
        <w:t xml:space="preserve"> </w:t>
      </w:r>
      <w:r w:rsidR="0089105B">
        <w:t>three</w:t>
      </w:r>
      <w:r w:rsidR="00884433">
        <w:t xml:space="preserve"> </w:t>
      </w:r>
      <w:proofErr w:type="spellStart"/>
      <w:r w:rsidR="000D1A4D">
        <w:t>Registrarial</w:t>
      </w:r>
      <w:proofErr w:type="spellEnd"/>
      <w:r w:rsidR="000D1A4D">
        <w:t xml:space="preserve"> Appeal</w:t>
      </w:r>
      <w:r w:rsidR="002D125B">
        <w:t>s</w:t>
      </w:r>
      <w:r w:rsidR="006D2CBD">
        <w:t xml:space="preserve"> during the </w:t>
      </w:r>
      <w:r w:rsidR="00F47EE9">
        <w:t>20</w:t>
      </w:r>
      <w:r w:rsidR="000621B7">
        <w:t>19</w:t>
      </w:r>
      <w:r w:rsidR="00F47EE9">
        <w:t>-20</w:t>
      </w:r>
      <w:r w:rsidR="00BF338F">
        <w:t>2</w:t>
      </w:r>
      <w:r w:rsidR="000621B7">
        <w:t>0</w:t>
      </w:r>
      <w:r w:rsidR="006D2CBD">
        <w:t xml:space="preserve"> academic year.</w:t>
      </w:r>
      <w:r w:rsidR="000D1A4D">
        <w:t xml:space="preserve"> The COS upheld the decision of the Registrar</w:t>
      </w:r>
      <w:r w:rsidR="002D125B">
        <w:t xml:space="preserve"> </w:t>
      </w:r>
      <w:r w:rsidR="00135A89">
        <w:t xml:space="preserve">in all the </w:t>
      </w:r>
      <w:r w:rsidR="002D125B">
        <w:t>cases</w:t>
      </w:r>
      <w:r w:rsidR="00F312B5">
        <w:t>.</w:t>
      </w:r>
      <w:r w:rsidR="002D125B">
        <w:t xml:space="preserve"> </w:t>
      </w:r>
    </w:p>
    <w:p w14:paraId="0E18C4CB" w14:textId="77777777" w:rsidR="0078111F" w:rsidRDefault="0078111F" w:rsidP="0078111F">
      <w:pPr>
        <w:pStyle w:val="Heading1"/>
      </w:pPr>
      <w:bookmarkStart w:id="18" w:name="_Toc465167550"/>
      <w:bookmarkStart w:id="19" w:name="_Toc51083185"/>
      <w:r>
        <w:t>Overview of Academic Honor Principle and Conduct Cases</w:t>
      </w:r>
      <w:bookmarkEnd w:id="18"/>
      <w:bookmarkEnd w:id="19"/>
    </w:p>
    <w:p w14:paraId="6742656D" w14:textId="0DA5F122" w:rsidR="0078111F" w:rsidRDefault="009C6AB6" w:rsidP="0078111F">
      <w:r>
        <w:t xml:space="preserve">During the </w:t>
      </w:r>
      <w:r w:rsidR="00F47EE9">
        <w:t>201</w:t>
      </w:r>
      <w:r w:rsidR="00DE4C32">
        <w:t>9</w:t>
      </w:r>
      <w:r w:rsidR="00F47EE9">
        <w:t>-20</w:t>
      </w:r>
      <w:r w:rsidR="00DE4C32">
        <w:t>20</w:t>
      </w:r>
      <w:r w:rsidR="004036DF">
        <w:t xml:space="preserve"> </w:t>
      </w:r>
      <w:r w:rsidR="00010BBA">
        <w:t>a</w:t>
      </w:r>
      <w:r w:rsidR="004036DF">
        <w:t xml:space="preserve">cademic </w:t>
      </w:r>
      <w:r w:rsidR="00010BBA">
        <w:t>y</w:t>
      </w:r>
      <w:r w:rsidR="004036DF">
        <w:t xml:space="preserve">ear, </w:t>
      </w:r>
      <w:r w:rsidR="00135A89">
        <w:t>51</w:t>
      </w:r>
      <w:r w:rsidR="00F609C5">
        <w:t xml:space="preserve"> </w:t>
      </w:r>
      <w:r w:rsidR="0078111F">
        <w:t>major misconduct cases</w:t>
      </w:r>
      <w:r w:rsidR="00EB7C30">
        <w:t xml:space="preserve"> </w:t>
      </w:r>
      <w:r w:rsidR="0078111F">
        <w:t>w</w:t>
      </w:r>
      <w:r>
        <w:t>ere referred to the Committee on Standards (COS) for</w:t>
      </w:r>
      <w:r w:rsidR="0078111F">
        <w:t xml:space="preserve"> </w:t>
      </w:r>
      <w:r w:rsidR="00761C6D">
        <w:t>resolution and/or sanctioning</w:t>
      </w:r>
      <w:r w:rsidR="0078111F">
        <w:t xml:space="preserve">. Major misconduct includes any type of case in which Suspension or Separation (i.e. expulsion) from the College are possible outcomes. </w:t>
      </w:r>
    </w:p>
    <w:p w14:paraId="793A03F3" w14:textId="10C06AA3" w:rsidR="0078111F" w:rsidRDefault="0078111F" w:rsidP="0078111F">
      <w:r>
        <w:t>Figure 1 shows the number of cases by type for the past 10 years. Prior to the Summer 2014 term, all Title IX cases would have been referred to t</w:t>
      </w:r>
      <w:r w:rsidR="009C6AB6">
        <w:t>he COS.</w:t>
      </w:r>
      <w:r>
        <w:t xml:space="preserve"> The COS st</w:t>
      </w:r>
      <w:r w:rsidR="009C6AB6">
        <w:t xml:space="preserve">ill </w:t>
      </w:r>
      <w:r w:rsidR="00761C6D">
        <w:t xml:space="preserve">resolves </w:t>
      </w:r>
      <w:r w:rsidR="009C6AB6">
        <w:t xml:space="preserve">allegations of violations of </w:t>
      </w:r>
      <w:r>
        <w:t xml:space="preserve">Dartmouth’s </w:t>
      </w:r>
      <w:r>
        <w:rPr>
          <w:i/>
        </w:rPr>
        <w:t xml:space="preserve">Sexual Harassment, Domestic Violence, Dating Violence, and Stalking Policy. </w:t>
      </w:r>
      <w:r>
        <w:t xml:space="preserve">However, at the beginning of the 2014-2015 Academic year, the College adopted a disciplinary procedure in which allegations of sexual assault are referred to an Independent Investigator for </w:t>
      </w:r>
      <w:r w:rsidR="002727AC">
        <w:t>investigation and resolution</w:t>
      </w:r>
      <w:r>
        <w:t>.</w:t>
      </w:r>
      <w:r>
        <w:rPr>
          <w:rStyle w:val="FootnoteReference"/>
        </w:rPr>
        <w:footnoteReference w:id="3"/>
      </w:r>
      <w:r>
        <w:t xml:space="preserve"> To reflect this change, the third category of cases labeled “Title IX” begins with the 2014-2015 academic year.</w:t>
      </w:r>
    </w:p>
    <w:p w14:paraId="0F8B273F" w14:textId="77777777" w:rsidR="007B7663" w:rsidRPr="009153B1" w:rsidRDefault="007B7663" w:rsidP="007B7663">
      <w:pPr>
        <w:pStyle w:val="Caption"/>
        <w:framePr w:w="646" w:h="271" w:hRule="exact" w:hSpace="180" w:wrap="around" w:vAnchor="text" w:hAnchor="page" w:x="1441" w:y="4369"/>
        <w:rPr>
          <w:i w:val="0"/>
        </w:rPr>
      </w:pPr>
      <w:r w:rsidRPr="009153B1">
        <w:rPr>
          <w:i w:val="0"/>
        </w:rPr>
        <w:t xml:space="preserve">Figure </w:t>
      </w:r>
      <w:r>
        <w:rPr>
          <w:i w:val="0"/>
        </w:rPr>
        <w:t>1</w:t>
      </w:r>
      <w:r w:rsidRPr="009153B1">
        <w:rPr>
          <w:i w:val="0"/>
        </w:rPr>
        <w:t xml:space="preserve">                  </w:t>
      </w:r>
    </w:p>
    <w:p w14:paraId="10E884FD" w14:textId="59330BFD" w:rsidR="0078111F" w:rsidRPr="00F16E2C" w:rsidRDefault="00CF56ED" w:rsidP="002D0807">
      <w:pPr>
        <w:pStyle w:val="Caption"/>
        <w:rPr>
          <w:i w:val="0"/>
          <w:iCs w:val="0"/>
        </w:rPr>
      </w:pPr>
      <w:r>
        <w:rPr>
          <w:noProof/>
        </w:rPr>
        <w:drawing>
          <wp:inline distT="0" distB="0" distL="0" distR="0" wp14:anchorId="165FC4DA" wp14:editId="730F8DCC">
            <wp:extent cx="4572000" cy="2743200"/>
            <wp:effectExtent l="0" t="0" r="12700" b="12700"/>
            <wp:docPr id="1" name="Chart 1">
              <a:extLst xmlns:a="http://schemas.openxmlformats.org/drawingml/2006/main">
                <a:ext uri="{FF2B5EF4-FFF2-40B4-BE49-F238E27FC236}">
                  <a16:creationId xmlns:a16="http://schemas.microsoft.com/office/drawing/2014/main" id="{8DED1577-CCA7-4545-8E13-94205B4F1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DAE6AC" w14:textId="77777777" w:rsidR="007B7663" w:rsidRDefault="007B7663" w:rsidP="0078111F"/>
    <w:p w14:paraId="43429DE6" w14:textId="29B81A6F" w:rsidR="0078111F" w:rsidRDefault="0078111F" w:rsidP="0078111F">
      <w:r>
        <w:lastRenderedPageBreak/>
        <w:t xml:space="preserve">In 2014-2015, </w:t>
      </w:r>
      <w:r w:rsidR="0085162E">
        <w:t>65</w:t>
      </w:r>
      <w:r>
        <w:t xml:space="preserve"> students were </w:t>
      </w:r>
      <w:r w:rsidR="00E935ED">
        <w:t>alleged</w:t>
      </w:r>
      <w:r>
        <w:t xml:space="preserve"> with Academic Honor Principle violations in the same course. When those students are factored out of the data, the </w:t>
      </w:r>
      <w:r w:rsidR="00C42BA6">
        <w:t>10-year</w:t>
      </w:r>
      <w:r>
        <w:t xml:space="preserve"> average for Academic Honor Principle cases is </w:t>
      </w:r>
      <w:r w:rsidR="005277B9">
        <w:t>38</w:t>
      </w:r>
      <w:r w:rsidR="00EF6D7E">
        <w:t xml:space="preserve"> </w:t>
      </w:r>
      <w:r>
        <w:t>and the average for other cases (including conduct and Title IX) is</w:t>
      </w:r>
      <w:r w:rsidR="00EF6D7E">
        <w:t xml:space="preserve"> </w:t>
      </w:r>
      <w:r w:rsidR="008F13EE">
        <w:t>28</w:t>
      </w:r>
      <w:r>
        <w:t>. This year</w:t>
      </w:r>
      <w:r w:rsidR="00F312B5">
        <w:t>,</w:t>
      </w:r>
      <w:r>
        <w:t xml:space="preserve"> Honor</w:t>
      </w:r>
      <w:r w:rsidR="0085162E">
        <w:t>-</w:t>
      </w:r>
      <w:r w:rsidR="008F13EE">
        <w:t>p</w:t>
      </w:r>
      <w:r>
        <w:t xml:space="preserve">rinciple cases and other conduct cases made up </w:t>
      </w:r>
      <w:r w:rsidR="005277B9">
        <w:t>41</w:t>
      </w:r>
      <w:r w:rsidR="007A2FE0">
        <w:t xml:space="preserve"> and </w:t>
      </w:r>
      <w:r w:rsidR="005277B9">
        <w:t>10</w:t>
      </w:r>
      <w:r w:rsidR="0085162E">
        <w:t xml:space="preserve"> </w:t>
      </w:r>
      <w:r>
        <w:t xml:space="preserve">cases respectively. </w:t>
      </w:r>
    </w:p>
    <w:p w14:paraId="223ADE59" w14:textId="1444FF86" w:rsidR="0078111F" w:rsidRDefault="00C42BA6" w:rsidP="0078111F">
      <w:r>
        <w:t>All</w:t>
      </w:r>
      <w:r w:rsidR="008F13EE">
        <w:t xml:space="preserve"> cases</w:t>
      </w:r>
      <w:r w:rsidR="00702FF7">
        <w:t xml:space="preserve"> </w:t>
      </w:r>
      <w:r w:rsidR="0078111F">
        <w:t>were resolved by a COS hearing.</w:t>
      </w:r>
      <w:r w:rsidR="00947AD5">
        <w:t xml:space="preserve"> </w:t>
      </w:r>
    </w:p>
    <w:p w14:paraId="4770BC65" w14:textId="77777777" w:rsidR="0078111F" w:rsidRPr="009E6F8F" w:rsidRDefault="0078111F" w:rsidP="0078111F">
      <w:pPr>
        <w:pStyle w:val="Heading1"/>
      </w:pPr>
      <w:bookmarkStart w:id="20" w:name="_Toc465167551"/>
      <w:bookmarkStart w:id="21" w:name="_Toc51083186"/>
      <w:r>
        <w:t>Academic Honor Principle</w:t>
      </w:r>
      <w:bookmarkEnd w:id="20"/>
      <w:bookmarkEnd w:id="21"/>
    </w:p>
    <w:p w14:paraId="3F6BA5AD" w14:textId="4F7ACB76" w:rsidR="00903DAA" w:rsidRDefault="0078111F" w:rsidP="0078111F">
      <w:r>
        <w:t xml:space="preserve">During the </w:t>
      </w:r>
      <w:r w:rsidR="007A2FE0">
        <w:t>2019-2020</w:t>
      </w:r>
      <w:r>
        <w:t xml:space="preserve"> academic year, </w:t>
      </w:r>
      <w:r w:rsidR="005277B9">
        <w:t>41</w:t>
      </w:r>
      <w:r w:rsidR="007A2FE0">
        <w:t xml:space="preserve"> </w:t>
      </w:r>
      <w:r>
        <w:t xml:space="preserve">students were involved in COS hearings due to alleged violations of the Academic Honor Principle. Of these students, </w:t>
      </w:r>
      <w:r w:rsidR="005277B9">
        <w:t>26</w:t>
      </w:r>
      <w:r w:rsidR="00F609C5">
        <w:t xml:space="preserve"> </w:t>
      </w:r>
      <w:r>
        <w:t>(</w:t>
      </w:r>
      <w:r w:rsidR="005277B9">
        <w:t>63</w:t>
      </w:r>
      <w:r>
        <w:t>%) admitted responsibility for the violation prior to their hearing. Students who admit responsibility may request to have their case heard in a one</w:t>
      </w:r>
      <w:r w:rsidR="00472667">
        <w:t>-</w:t>
      </w:r>
      <w:r>
        <w:t>on</w:t>
      </w:r>
      <w:r w:rsidR="00472667">
        <w:t>-</w:t>
      </w:r>
      <w:r>
        <w:t xml:space="preserve">one hearing by a COS Chair rather than a full Committee. </w:t>
      </w:r>
      <w:r w:rsidR="005277B9">
        <w:t>18</w:t>
      </w:r>
      <w:r>
        <w:t xml:space="preserve"> of the students who admitted requested a one</w:t>
      </w:r>
      <w:r w:rsidR="00472667">
        <w:t>-</w:t>
      </w:r>
      <w:r>
        <w:t>on</w:t>
      </w:r>
      <w:r w:rsidR="00472667">
        <w:t>-</w:t>
      </w:r>
      <w:r>
        <w:t>one hearing.</w:t>
      </w:r>
    </w:p>
    <w:p w14:paraId="34DC4E4D" w14:textId="447E4C16" w:rsidR="0034480A" w:rsidRDefault="00167F06" w:rsidP="0078111F">
      <w:r>
        <w:rPr>
          <w:noProof/>
        </w:rPr>
        <w:drawing>
          <wp:inline distT="0" distB="0" distL="0" distR="0" wp14:anchorId="3C39B518" wp14:editId="0CE5300A">
            <wp:extent cx="5194300" cy="2743200"/>
            <wp:effectExtent l="0" t="0" r="12700" b="12700"/>
            <wp:docPr id="7" name="Chart 7">
              <a:extLst xmlns:a="http://schemas.openxmlformats.org/drawingml/2006/main">
                <a:ext uri="{FF2B5EF4-FFF2-40B4-BE49-F238E27FC236}">
                  <a16:creationId xmlns:a16="http://schemas.microsoft.com/office/drawing/2014/main" id="{5E817708-55F7-1987-3464-35FFD7EC1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C0E709" w14:textId="4842A2C8" w:rsidR="0078111F" w:rsidRDefault="00C7775A" w:rsidP="0078111F">
      <w:r>
        <w:t>15</w:t>
      </w:r>
      <w:r w:rsidR="002B0EE7">
        <w:t xml:space="preserve"> </w:t>
      </w:r>
      <w:r w:rsidR="0078111F">
        <w:t>students denied responsibility</w:t>
      </w:r>
      <w:r w:rsidR="00735B0A">
        <w:t xml:space="preserve"> and</w:t>
      </w:r>
      <w:r w:rsidR="00BD1197">
        <w:t xml:space="preserve"> therefore</w:t>
      </w:r>
      <w:r w:rsidR="00BD1197">
        <w:rPr>
          <w:color w:val="000000" w:themeColor="text1"/>
        </w:rPr>
        <w:t xml:space="preserve"> </w:t>
      </w:r>
      <w:r w:rsidR="0078111F" w:rsidRPr="00884433">
        <w:rPr>
          <w:color w:val="000000" w:themeColor="text1"/>
        </w:rPr>
        <w:t xml:space="preserve">were referred to a COS Committee. </w:t>
      </w:r>
      <w:r w:rsidR="00404832">
        <w:t xml:space="preserve"> </w:t>
      </w:r>
      <w:r w:rsidR="002B0EE7">
        <w:t xml:space="preserve"> </w:t>
      </w:r>
      <w:r>
        <w:t>13</w:t>
      </w:r>
      <w:r w:rsidR="002B0EE7">
        <w:t xml:space="preserve"> students were found responsible for the violation</w:t>
      </w:r>
      <w:r w:rsidR="00331728">
        <w:t>, and two students were found not responsible.</w:t>
      </w:r>
    </w:p>
    <w:p w14:paraId="0A6C04B6" w14:textId="0C419968" w:rsidR="0078111F" w:rsidRPr="00A90FE6" w:rsidRDefault="0078111F" w:rsidP="0078111F">
      <w:r>
        <w:t xml:space="preserve">Of the students who were found responsible (including those who admitted responsibility prior to their hearing), </w:t>
      </w:r>
      <w:r w:rsidR="00C7775A">
        <w:t>9</w:t>
      </w:r>
      <w:r w:rsidR="004552FE">
        <w:t xml:space="preserve"> </w:t>
      </w:r>
      <w:r w:rsidR="009C6AB6">
        <w:t>student</w:t>
      </w:r>
      <w:r w:rsidR="009A6A76">
        <w:t xml:space="preserve">s were </w:t>
      </w:r>
      <w:r>
        <w:t>placed on College Probation</w:t>
      </w:r>
      <w:r w:rsidR="00451FDE">
        <w:t xml:space="preserve">, </w:t>
      </w:r>
      <w:r w:rsidR="00C7775A">
        <w:t>14</w:t>
      </w:r>
      <w:r w:rsidR="00735B0A">
        <w:t xml:space="preserve"> </w:t>
      </w:r>
      <w:r w:rsidR="009C6AB6">
        <w:t xml:space="preserve">students were </w:t>
      </w:r>
      <w:r w:rsidR="006C036B">
        <w:t xml:space="preserve">issued a </w:t>
      </w:r>
      <w:r w:rsidR="00735B0A">
        <w:t xml:space="preserve">Deferred </w:t>
      </w:r>
      <w:r w:rsidR="006C036B">
        <w:t xml:space="preserve">Suspension, and </w:t>
      </w:r>
      <w:r w:rsidR="00451FDE">
        <w:t xml:space="preserve">16 </w:t>
      </w:r>
      <w:r w:rsidR="006C036B">
        <w:t>were s</w:t>
      </w:r>
      <w:r w:rsidR="009C6AB6">
        <w:t xml:space="preserve">uspended </w:t>
      </w:r>
      <w:r w:rsidR="00451FDE">
        <w:t xml:space="preserve">between </w:t>
      </w:r>
      <w:r w:rsidR="00AB73F2">
        <w:t>1</w:t>
      </w:r>
      <w:r w:rsidR="00451FDE">
        <w:t>-</w:t>
      </w:r>
      <w:r w:rsidR="00AB73F2">
        <w:t>5</w:t>
      </w:r>
      <w:r w:rsidR="00451FDE">
        <w:t xml:space="preserve"> terms.</w:t>
      </w:r>
      <w:r>
        <w:t xml:space="preserve"> </w:t>
      </w:r>
    </w:p>
    <w:p w14:paraId="47DDFC44" w14:textId="77777777" w:rsidR="003C4AE6" w:rsidRDefault="003C4AE6" w:rsidP="003C4AE6">
      <w:pPr>
        <w:pStyle w:val="Heading2"/>
      </w:pPr>
      <w:bookmarkStart w:id="22" w:name="_Toc465167553"/>
      <w:bookmarkStart w:id="23" w:name="_Toc51083187"/>
      <w:bookmarkStart w:id="24" w:name="_Toc465167554"/>
      <w:bookmarkStart w:id="25" w:name="_Toc51083188"/>
      <w:r>
        <w:t>Types of Violations (AHP)</w:t>
      </w:r>
      <w:bookmarkEnd w:id="22"/>
      <w:bookmarkEnd w:id="23"/>
    </w:p>
    <w:p w14:paraId="2A23A801" w14:textId="68DCB18D" w:rsidR="003C4AE6" w:rsidRDefault="003C4AE6" w:rsidP="003C4AE6">
      <w:r w:rsidRPr="0014021A">
        <w:t xml:space="preserve">This year, violations of the Academic Honor Principle </w:t>
      </w:r>
      <w:r>
        <w:t xml:space="preserve">broadly </w:t>
      </w:r>
      <w:r w:rsidRPr="0014021A">
        <w:t xml:space="preserve">fell into </w:t>
      </w:r>
      <w:r w:rsidR="0034480A">
        <w:t>six</w:t>
      </w:r>
      <w:r w:rsidRPr="0014021A">
        <w:t xml:space="preserve"> categories: cheating on a test or exam (</w:t>
      </w:r>
      <w:r>
        <w:t>8</w:t>
      </w:r>
      <w:r w:rsidRPr="0014021A">
        <w:t>), unauthorized collaboration (</w:t>
      </w:r>
      <w:r>
        <w:t>1</w:t>
      </w:r>
      <w:r w:rsidR="0034480A">
        <w:t>7</w:t>
      </w:r>
      <w:r w:rsidRPr="0014021A">
        <w:t>), plagiarism (</w:t>
      </w:r>
      <w:r w:rsidR="0034480A">
        <w:t>6</w:t>
      </w:r>
      <w:r w:rsidRPr="0014021A">
        <w:t>)</w:t>
      </w:r>
      <w:r>
        <w:t xml:space="preserve">, cheating on homework </w:t>
      </w:r>
      <w:r w:rsidRPr="0014021A">
        <w:t>(</w:t>
      </w:r>
      <w:r>
        <w:t>3</w:t>
      </w:r>
      <w:r w:rsidRPr="0014021A">
        <w:t>),</w:t>
      </w:r>
      <w:r>
        <w:t xml:space="preserve"> and Unauthorized Participation (4), and Misrepresentation of Attendance (4). The number of allegations is greater than the number of cases because some students received allegations for multiple AHP violations in a single case.</w:t>
      </w:r>
    </w:p>
    <w:p w14:paraId="534EA924" w14:textId="0BBB9BC1" w:rsidR="0034480A" w:rsidRDefault="0034480A" w:rsidP="003C4AE6"/>
    <w:p w14:paraId="3752EE24" w14:textId="77777777" w:rsidR="0034480A" w:rsidRDefault="0034480A" w:rsidP="003C4AE6"/>
    <w:tbl>
      <w:tblPr>
        <w:tblW w:w="4860" w:type="dxa"/>
        <w:tblLook w:val="04A0" w:firstRow="1" w:lastRow="0" w:firstColumn="1" w:lastColumn="0" w:noHBand="0" w:noVBand="1"/>
      </w:tblPr>
      <w:tblGrid>
        <w:gridCol w:w="3420"/>
        <w:gridCol w:w="1440"/>
      </w:tblGrid>
      <w:tr w:rsidR="00415D36" w:rsidRPr="00415D36" w14:paraId="47D334ED"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FFC000" w:fill="FFC000"/>
            <w:noWrap/>
            <w:vAlign w:val="bottom"/>
            <w:hideMark/>
          </w:tcPr>
          <w:p w14:paraId="53EF8020" w14:textId="77777777" w:rsidR="00415D36" w:rsidRPr="00415D36" w:rsidRDefault="00415D36" w:rsidP="00415D36">
            <w:pPr>
              <w:spacing w:after="0" w:line="240" w:lineRule="auto"/>
              <w:rPr>
                <w:rFonts w:ascii="Calibri" w:eastAsia="Times New Roman" w:hAnsi="Calibri" w:cs="Calibri"/>
                <w:b/>
                <w:bCs/>
                <w:color w:val="FFFFFF"/>
                <w:sz w:val="24"/>
                <w:szCs w:val="24"/>
              </w:rPr>
            </w:pPr>
            <w:r w:rsidRPr="00415D36">
              <w:rPr>
                <w:rFonts w:ascii="Calibri" w:eastAsia="Times New Roman" w:hAnsi="Calibri" w:cs="Calibri"/>
                <w:b/>
                <w:bCs/>
                <w:color w:val="FFFFFF"/>
                <w:sz w:val="24"/>
                <w:szCs w:val="24"/>
              </w:rPr>
              <w:lastRenderedPageBreak/>
              <w:t xml:space="preserve">AHP Cases by Allegation </w:t>
            </w:r>
          </w:p>
        </w:tc>
        <w:tc>
          <w:tcPr>
            <w:tcW w:w="1440" w:type="dxa"/>
            <w:tcBorders>
              <w:top w:val="single" w:sz="4" w:space="0" w:color="FFD966"/>
              <w:left w:val="nil"/>
              <w:bottom w:val="single" w:sz="4" w:space="0" w:color="FFD966"/>
              <w:right w:val="single" w:sz="4" w:space="0" w:color="FFD966"/>
            </w:tcBorders>
            <w:shd w:val="clear" w:color="FFC000" w:fill="FFC000"/>
            <w:noWrap/>
            <w:vAlign w:val="bottom"/>
            <w:hideMark/>
          </w:tcPr>
          <w:p w14:paraId="26132730" w14:textId="77777777" w:rsidR="00415D36" w:rsidRPr="00415D36" w:rsidRDefault="00415D36" w:rsidP="00415D36">
            <w:pPr>
              <w:spacing w:after="0" w:line="240" w:lineRule="auto"/>
              <w:rPr>
                <w:rFonts w:ascii="Calibri" w:eastAsia="Times New Roman" w:hAnsi="Calibri" w:cs="Calibri"/>
                <w:b/>
                <w:bCs/>
                <w:color w:val="FFFFFF"/>
                <w:sz w:val="24"/>
                <w:szCs w:val="24"/>
              </w:rPr>
            </w:pPr>
            <w:r w:rsidRPr="00415D36">
              <w:rPr>
                <w:rFonts w:ascii="Calibri" w:eastAsia="Times New Roman" w:hAnsi="Calibri" w:cs="Calibri"/>
                <w:b/>
                <w:bCs/>
                <w:color w:val="FFFFFF"/>
                <w:sz w:val="24"/>
                <w:szCs w:val="24"/>
              </w:rPr>
              <w:t>Frequency</w:t>
            </w:r>
          </w:p>
        </w:tc>
      </w:tr>
      <w:tr w:rsidR="00415D36" w:rsidRPr="00415D36" w14:paraId="14DC1F57"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0CA255CC" w14:textId="77777777" w:rsidR="00415D36" w:rsidRPr="00415D36" w:rsidRDefault="00415D36" w:rsidP="00415D36">
            <w:pPr>
              <w:spacing w:after="0" w:line="240" w:lineRule="auto"/>
              <w:rPr>
                <w:rFonts w:ascii="Calibri" w:eastAsia="Times New Roman" w:hAnsi="Calibri" w:cs="Calibri"/>
                <w:color w:val="000000"/>
                <w:sz w:val="24"/>
                <w:szCs w:val="24"/>
              </w:rPr>
            </w:pPr>
            <w:r w:rsidRPr="00415D36">
              <w:rPr>
                <w:rFonts w:ascii="Calibri" w:eastAsia="Times New Roman" w:hAnsi="Calibri" w:cs="Calibri"/>
                <w:color w:val="000000"/>
                <w:sz w:val="24"/>
                <w:szCs w:val="24"/>
              </w:rPr>
              <w:t xml:space="preserve">Cheating on exam/quiz </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4AC22396"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8</w:t>
            </w:r>
          </w:p>
        </w:tc>
      </w:tr>
      <w:tr w:rsidR="00415D36" w:rsidRPr="00415D36" w14:paraId="6AFA8266"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5BAB0B05" w14:textId="77777777" w:rsidR="00415D36" w:rsidRPr="00415D36" w:rsidRDefault="00415D36" w:rsidP="00415D36">
            <w:pPr>
              <w:spacing w:after="0" w:line="240" w:lineRule="auto"/>
              <w:rPr>
                <w:rFonts w:ascii="Calibri" w:eastAsia="Times New Roman" w:hAnsi="Calibri" w:cs="Calibri"/>
                <w:color w:val="000000"/>
                <w:sz w:val="24"/>
                <w:szCs w:val="24"/>
              </w:rPr>
            </w:pPr>
            <w:r w:rsidRPr="00415D36">
              <w:rPr>
                <w:rFonts w:ascii="Calibri" w:eastAsia="Times New Roman" w:hAnsi="Calibri" w:cs="Calibri"/>
                <w:color w:val="000000"/>
                <w:sz w:val="24"/>
                <w:szCs w:val="24"/>
              </w:rPr>
              <w:t xml:space="preserve">Unauthorized Collab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4BD2A46B"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17</w:t>
            </w:r>
          </w:p>
        </w:tc>
      </w:tr>
      <w:tr w:rsidR="00415D36" w:rsidRPr="00415D36" w14:paraId="7C585C86"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2769619E" w14:textId="77777777" w:rsidR="00415D36" w:rsidRPr="00415D36" w:rsidRDefault="00415D36" w:rsidP="00415D36">
            <w:pPr>
              <w:spacing w:after="0" w:line="240" w:lineRule="auto"/>
              <w:rPr>
                <w:rFonts w:ascii="Calibri" w:eastAsia="Times New Roman" w:hAnsi="Calibri" w:cs="Calibri"/>
                <w:color w:val="000000"/>
                <w:sz w:val="24"/>
                <w:szCs w:val="24"/>
              </w:rPr>
            </w:pPr>
            <w:proofErr w:type="spellStart"/>
            <w:r w:rsidRPr="00415D36">
              <w:rPr>
                <w:rFonts w:ascii="Calibri" w:eastAsia="Times New Roman" w:hAnsi="Calibri" w:cs="Calibri"/>
                <w:color w:val="000000"/>
                <w:sz w:val="24"/>
                <w:szCs w:val="24"/>
              </w:rPr>
              <w:t>Plagarism</w:t>
            </w:r>
            <w:proofErr w:type="spellEnd"/>
            <w:r w:rsidRPr="00415D36">
              <w:rPr>
                <w:rFonts w:ascii="Calibri" w:eastAsia="Times New Roman" w:hAnsi="Calibri" w:cs="Calibri"/>
                <w:color w:val="000000"/>
                <w:sz w:val="24"/>
                <w:szCs w:val="24"/>
              </w:rPr>
              <w:t xml:space="preserve"> </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10D2A6DE"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6</w:t>
            </w:r>
          </w:p>
        </w:tc>
      </w:tr>
      <w:tr w:rsidR="00415D36" w:rsidRPr="00415D36" w14:paraId="613426B9"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64E284A0" w14:textId="77777777" w:rsidR="00415D36" w:rsidRPr="00415D36" w:rsidRDefault="00415D36" w:rsidP="00415D36">
            <w:pPr>
              <w:spacing w:after="0" w:line="240" w:lineRule="auto"/>
              <w:rPr>
                <w:rFonts w:ascii="Calibri" w:eastAsia="Times New Roman" w:hAnsi="Calibri" w:cs="Calibri"/>
                <w:color w:val="000000"/>
                <w:sz w:val="24"/>
                <w:szCs w:val="24"/>
              </w:rPr>
            </w:pPr>
            <w:r w:rsidRPr="00415D36">
              <w:rPr>
                <w:rFonts w:ascii="Calibri" w:eastAsia="Times New Roman" w:hAnsi="Calibri" w:cs="Calibri"/>
                <w:color w:val="000000"/>
                <w:sz w:val="24"/>
                <w:szCs w:val="24"/>
              </w:rPr>
              <w:t xml:space="preserve">Cheating on homework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6106E961"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3</w:t>
            </w:r>
          </w:p>
        </w:tc>
      </w:tr>
      <w:tr w:rsidR="00415D36" w:rsidRPr="00415D36" w14:paraId="3FE926EC"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28BE640C" w14:textId="77777777" w:rsidR="00415D36" w:rsidRPr="00415D36" w:rsidRDefault="00415D36" w:rsidP="00415D36">
            <w:pPr>
              <w:spacing w:after="0" w:line="240" w:lineRule="auto"/>
              <w:rPr>
                <w:rFonts w:ascii="Calibri" w:eastAsia="Times New Roman" w:hAnsi="Calibri" w:cs="Calibri"/>
                <w:color w:val="000000"/>
                <w:sz w:val="24"/>
                <w:szCs w:val="24"/>
              </w:rPr>
            </w:pPr>
            <w:r w:rsidRPr="00415D36">
              <w:rPr>
                <w:rFonts w:ascii="Calibri" w:eastAsia="Times New Roman" w:hAnsi="Calibri" w:cs="Calibri"/>
                <w:color w:val="000000"/>
                <w:sz w:val="24"/>
                <w:szCs w:val="24"/>
              </w:rPr>
              <w:t>Unauthorized Participation</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2B10D5DC"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4</w:t>
            </w:r>
          </w:p>
        </w:tc>
      </w:tr>
      <w:tr w:rsidR="00415D36" w:rsidRPr="00415D36" w14:paraId="37031173" w14:textId="77777777" w:rsidTr="00415D36">
        <w:trPr>
          <w:trHeight w:val="320"/>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6E8708F1" w14:textId="77777777" w:rsidR="00415D36" w:rsidRPr="00415D36" w:rsidRDefault="00415D36" w:rsidP="00415D36">
            <w:pPr>
              <w:spacing w:after="0" w:line="240" w:lineRule="auto"/>
              <w:rPr>
                <w:rFonts w:ascii="Calibri" w:eastAsia="Times New Roman" w:hAnsi="Calibri" w:cs="Calibri"/>
                <w:color w:val="000000"/>
                <w:sz w:val="24"/>
                <w:szCs w:val="24"/>
              </w:rPr>
            </w:pPr>
            <w:r w:rsidRPr="00415D36">
              <w:rPr>
                <w:rFonts w:ascii="Calibri" w:eastAsia="Times New Roman" w:hAnsi="Calibri" w:cs="Calibri"/>
                <w:color w:val="000000"/>
                <w:sz w:val="24"/>
                <w:szCs w:val="24"/>
              </w:rPr>
              <w:t>Misrepresentation of Attendance</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4D6F0441" w14:textId="77777777" w:rsidR="00415D36" w:rsidRPr="00415D36" w:rsidRDefault="00415D36" w:rsidP="00415D36">
            <w:pPr>
              <w:spacing w:after="0" w:line="240" w:lineRule="auto"/>
              <w:jc w:val="right"/>
              <w:rPr>
                <w:rFonts w:ascii="Calibri" w:eastAsia="Times New Roman" w:hAnsi="Calibri" w:cs="Calibri"/>
                <w:color w:val="000000"/>
                <w:sz w:val="24"/>
                <w:szCs w:val="24"/>
              </w:rPr>
            </w:pPr>
            <w:r w:rsidRPr="00415D36">
              <w:rPr>
                <w:rFonts w:ascii="Calibri" w:eastAsia="Times New Roman" w:hAnsi="Calibri" w:cs="Calibri"/>
                <w:color w:val="000000"/>
                <w:sz w:val="24"/>
                <w:szCs w:val="24"/>
              </w:rPr>
              <w:t>4</w:t>
            </w:r>
          </w:p>
        </w:tc>
      </w:tr>
    </w:tbl>
    <w:p w14:paraId="7004EFBC" w14:textId="77777777" w:rsidR="00415D36" w:rsidRPr="0014021A" w:rsidRDefault="00415D36" w:rsidP="003C4AE6"/>
    <w:p w14:paraId="44D57D8F" w14:textId="4F993AF4" w:rsidR="0078111F" w:rsidRDefault="0078111F" w:rsidP="0078111F">
      <w:pPr>
        <w:pStyle w:val="Heading1"/>
      </w:pPr>
      <w:r>
        <w:t>COS-Level Conduct Cases</w:t>
      </w:r>
      <w:bookmarkEnd w:id="24"/>
      <w:bookmarkEnd w:id="25"/>
    </w:p>
    <w:p w14:paraId="79BA9F6C" w14:textId="1A503914" w:rsidR="0078111F" w:rsidRDefault="0078111F" w:rsidP="0078111F">
      <w:r>
        <w:t xml:space="preserve">Figure </w:t>
      </w:r>
      <w:r w:rsidRPr="00C819F7">
        <w:t>1</w:t>
      </w:r>
      <w:r>
        <w:t xml:space="preserve"> indicates that </w:t>
      </w:r>
      <w:r w:rsidR="00CC72CC">
        <w:t>10</w:t>
      </w:r>
      <w:r>
        <w:t xml:space="preserve"> students</w:t>
      </w:r>
      <w:r w:rsidR="00E935ED">
        <w:t xml:space="preserve"> </w:t>
      </w:r>
      <w:r w:rsidR="00A126F3">
        <w:t>were allege</w:t>
      </w:r>
      <w:r w:rsidR="00530A9A">
        <w:t>d</w:t>
      </w:r>
      <w:r w:rsidR="00A126F3">
        <w:t xml:space="preserve"> to have engaged in</w:t>
      </w:r>
      <w:r>
        <w:t xml:space="preserve"> conduct violations at the COS level. Students who </w:t>
      </w:r>
      <w:r w:rsidR="00A126F3">
        <w:t xml:space="preserve">are responding to conduct violation </w:t>
      </w:r>
      <w:r w:rsidR="00E935ED">
        <w:t>allegations</w:t>
      </w:r>
      <w:r>
        <w:t xml:space="preserve"> at the COS-Level </w:t>
      </w:r>
      <w:r w:rsidR="00E935ED">
        <w:t>are</w:t>
      </w:r>
      <w:r w:rsidR="00363491">
        <w:t xml:space="preserve"> </w:t>
      </w:r>
      <w:r>
        <w:t>often</w:t>
      </w:r>
      <w:r w:rsidR="00E935ED">
        <w:t xml:space="preserve"> alleged </w:t>
      </w:r>
      <w:r w:rsidR="00A126F3">
        <w:t>to have engaged in more than</w:t>
      </w:r>
      <w:r w:rsidR="00E935ED">
        <w:t xml:space="preserve"> one violation</w:t>
      </w:r>
      <w:r w:rsidR="00B852AD">
        <w:t xml:space="preserve">, and </w:t>
      </w:r>
      <w:r>
        <w:t>F</w:t>
      </w:r>
      <w:r w:rsidR="00CF52AA">
        <w:t>igure 3</w:t>
      </w:r>
      <w:r>
        <w:t xml:space="preserve"> categorizes the cases by</w:t>
      </w:r>
      <w:r w:rsidR="008C1007">
        <w:t xml:space="preserve"> allegation frequency. The number of allegations is greater than the number of cases because some students received allegations for multiple violations of a policy in a single case.</w:t>
      </w:r>
    </w:p>
    <w:p w14:paraId="3606B5B8" w14:textId="13D7CC59" w:rsidR="00D91939" w:rsidRDefault="008C1007" w:rsidP="00D91939">
      <w:r>
        <w:t>3</w:t>
      </w:r>
      <w:r w:rsidR="00D91939" w:rsidRPr="00404B91">
        <w:t xml:space="preserve"> students denied at least one of the alleged violations of the Standards of Co</w:t>
      </w:r>
      <w:r w:rsidR="00512948">
        <w:t xml:space="preserve">nduct prior to their hearing; </w:t>
      </w:r>
      <w:r>
        <w:t>7</w:t>
      </w:r>
      <w:r w:rsidR="004E65D0">
        <w:t xml:space="preserve"> </w:t>
      </w:r>
      <w:r w:rsidR="00D91939" w:rsidRPr="00404B91">
        <w:t>student</w:t>
      </w:r>
      <w:r w:rsidR="000A7F09">
        <w:t>s</w:t>
      </w:r>
      <w:r w:rsidR="00D91939" w:rsidRPr="00404B91">
        <w:t xml:space="preserve"> admitted to all the allegations made against them.</w:t>
      </w:r>
      <w:r w:rsidR="00D91939" w:rsidRPr="00127DD6">
        <w:rPr>
          <w:noProof/>
        </w:rPr>
        <w:t xml:space="preserve"> </w:t>
      </w:r>
    </w:p>
    <w:p w14:paraId="67E5714C" w14:textId="5118BD2B" w:rsidR="00CF51FF" w:rsidRDefault="00D91939" w:rsidP="00CF51FF">
      <w:r>
        <w:t>Of t</w:t>
      </w:r>
      <w:r w:rsidR="00512948">
        <w:t>he students found responsible</w:t>
      </w:r>
      <w:r w:rsidR="00D46FA0">
        <w:t xml:space="preserve">, </w:t>
      </w:r>
      <w:r w:rsidR="008C1007">
        <w:t>3</w:t>
      </w:r>
      <w:r w:rsidR="000A7F09">
        <w:t xml:space="preserve"> received Deferred Suspensions and </w:t>
      </w:r>
      <w:r w:rsidR="008C1007">
        <w:t>7</w:t>
      </w:r>
      <w:r w:rsidR="000A7F09">
        <w:t xml:space="preserve"> were suspended</w:t>
      </w:r>
      <w:r>
        <w:t xml:space="preserve"> for a </w:t>
      </w:r>
      <w:r w:rsidR="00C42BA6">
        <w:t>period</w:t>
      </w:r>
      <w:r>
        <w:t xml:space="preserve"> ranging </w:t>
      </w:r>
      <w:r w:rsidRPr="0013795C">
        <w:t xml:space="preserve">from </w:t>
      </w:r>
      <w:r w:rsidR="003A4DE2">
        <w:t>1-3 terms</w:t>
      </w:r>
      <w:bookmarkStart w:id="26" w:name="_Toc465167555"/>
      <w:r w:rsidR="00154DC5">
        <w:t>.</w:t>
      </w:r>
    </w:p>
    <w:p w14:paraId="09DC7366" w14:textId="01A1EEEC" w:rsidR="00144B5C" w:rsidDel="001531EC" w:rsidRDefault="002E1DE2" w:rsidP="004E65D0">
      <w:pPr>
        <w:pStyle w:val="Caption"/>
        <w:rPr>
          <w:noProof/>
        </w:rPr>
      </w:pPr>
      <w:r>
        <w:rPr>
          <w:noProof/>
        </w:rPr>
        <mc:AlternateContent>
          <mc:Choice Requires="wps">
            <w:drawing>
              <wp:anchor distT="45720" distB="45720" distL="114300" distR="114300" simplePos="0" relativeHeight="251664384" behindDoc="0" locked="0" layoutInCell="1" allowOverlap="1" wp14:anchorId="4C253A81" wp14:editId="1A8C7347">
                <wp:simplePos x="0" y="0"/>
                <wp:positionH relativeFrom="margin">
                  <wp:posOffset>1338444</wp:posOffset>
                </wp:positionH>
                <wp:positionV relativeFrom="paragraph">
                  <wp:posOffset>1720488</wp:posOffset>
                </wp:positionV>
                <wp:extent cx="49530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w="9525">
                          <a:noFill/>
                          <a:miter lim="800000"/>
                          <a:headEnd/>
                          <a:tailEnd/>
                        </a:ln>
                      </wps:spPr>
                      <wps:txbx>
                        <w:txbxContent>
                          <w:p w14:paraId="328CB5D2" w14:textId="653213F7" w:rsidR="00813F70" w:rsidRPr="00BB74A0" w:rsidRDefault="00813F70">
                            <w:pPr>
                              <w:rPr>
                                <w:color w:val="FFFFFF" w:themeColor="background1"/>
                              </w:rPr>
                            </w:pPr>
                            <w:r w:rsidRPr="00BB74A0">
                              <w:rPr>
                                <w:color w:val="FFFFFF" w:themeColor="background1"/>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53A81" id="Text Box 2" o:spid="_x0000_s1030" type="#_x0000_t202" style="position:absolute;margin-left:105.4pt;margin-top:135.45pt;width:39pt;height:2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" filled="f" stroked="f">
                <v:textbox>
                  <w:txbxContent>
                    <w:p w14:paraId="328CB5D2" w14:textId="653213F7" w:rsidR="00813F70" w:rsidRPr="00BB74A0" w:rsidRDefault="00813F70">
                      <w:pPr>
                        <w:rPr>
                          <w:color w:val="FFFFFF" w:themeColor="background1"/>
                        </w:rPr>
                      </w:pPr>
                      <w:r w:rsidRPr="00BB74A0">
                        <w:rPr>
                          <w:color w:val="FFFFFF" w:themeColor="background1"/>
                        </w:rPr>
                        <w:t>57%</w:t>
                      </w:r>
                    </w:p>
                  </w:txbxContent>
                </v:textbox>
                <w10:wrap anchorx="margin"/>
              </v:shape>
            </w:pict>
          </mc:Fallback>
        </mc:AlternateContent>
      </w:r>
      <w:r w:rsidR="00874197" w:rsidRPr="00874197">
        <w:rPr>
          <w:noProof/>
        </w:rPr>
        <w:t xml:space="preserve"> </w:t>
      </w:r>
    </w:p>
    <w:tbl>
      <w:tblPr>
        <w:tblW w:w="6294" w:type="dxa"/>
        <w:tblLook w:val="04A0" w:firstRow="1" w:lastRow="0" w:firstColumn="1" w:lastColumn="0" w:noHBand="0" w:noVBand="1"/>
      </w:tblPr>
      <w:tblGrid>
        <w:gridCol w:w="5040"/>
        <w:gridCol w:w="1254"/>
      </w:tblGrid>
      <w:tr w:rsidR="00144B5C" w:rsidRPr="00144B5C" w14:paraId="1BE765BF" w14:textId="77777777" w:rsidTr="001B7738">
        <w:trPr>
          <w:trHeight w:val="320"/>
        </w:trPr>
        <w:tc>
          <w:tcPr>
            <w:tcW w:w="5040" w:type="dxa"/>
            <w:tcBorders>
              <w:top w:val="single" w:sz="8" w:space="0" w:color="000000"/>
              <w:left w:val="nil"/>
              <w:bottom w:val="single" w:sz="8" w:space="0" w:color="000000"/>
              <w:right w:val="nil"/>
            </w:tcBorders>
            <w:shd w:val="clear" w:color="70AD47" w:fill="70AD47"/>
            <w:noWrap/>
            <w:vAlign w:val="bottom"/>
            <w:hideMark/>
          </w:tcPr>
          <w:p w14:paraId="6943B930" w14:textId="77777777" w:rsidR="00144B5C" w:rsidRPr="00144B5C" w:rsidRDefault="00144B5C" w:rsidP="00144B5C">
            <w:pPr>
              <w:spacing w:after="0" w:line="240" w:lineRule="auto"/>
              <w:rPr>
                <w:rFonts w:ascii="Calibri" w:eastAsia="Times New Roman" w:hAnsi="Calibri" w:cs="Calibri"/>
                <w:b/>
                <w:bCs/>
                <w:color w:val="FFFFFF"/>
                <w:sz w:val="24"/>
                <w:szCs w:val="24"/>
              </w:rPr>
            </w:pPr>
            <w:r w:rsidRPr="00144B5C">
              <w:rPr>
                <w:rFonts w:ascii="Calibri" w:eastAsia="Times New Roman" w:hAnsi="Calibri" w:cs="Calibri"/>
                <w:b/>
                <w:bCs/>
                <w:color w:val="FFFFFF"/>
                <w:sz w:val="24"/>
                <w:szCs w:val="24"/>
              </w:rPr>
              <w:t xml:space="preserve">Major Misconduct Conduct Cases by Allegation </w:t>
            </w:r>
          </w:p>
        </w:tc>
        <w:tc>
          <w:tcPr>
            <w:tcW w:w="1254" w:type="dxa"/>
            <w:tcBorders>
              <w:top w:val="single" w:sz="8" w:space="0" w:color="000000"/>
              <w:left w:val="nil"/>
              <w:bottom w:val="single" w:sz="8" w:space="0" w:color="000000"/>
              <w:right w:val="nil"/>
            </w:tcBorders>
            <w:shd w:val="clear" w:color="70AD47" w:fill="70AD47"/>
            <w:noWrap/>
            <w:vAlign w:val="bottom"/>
            <w:hideMark/>
          </w:tcPr>
          <w:p w14:paraId="66245BEC" w14:textId="77777777" w:rsidR="00144B5C" w:rsidRPr="00144B5C" w:rsidRDefault="00144B5C" w:rsidP="00144B5C">
            <w:pPr>
              <w:spacing w:after="0" w:line="240" w:lineRule="auto"/>
              <w:rPr>
                <w:rFonts w:ascii="Calibri" w:eastAsia="Times New Roman" w:hAnsi="Calibri" w:cs="Calibri"/>
                <w:b/>
                <w:bCs/>
                <w:color w:val="FFFFFF"/>
                <w:sz w:val="24"/>
                <w:szCs w:val="24"/>
              </w:rPr>
            </w:pPr>
            <w:r w:rsidRPr="00144B5C">
              <w:rPr>
                <w:rFonts w:ascii="Calibri" w:eastAsia="Times New Roman" w:hAnsi="Calibri" w:cs="Calibri"/>
                <w:b/>
                <w:bCs/>
                <w:color w:val="FFFFFF"/>
                <w:sz w:val="24"/>
                <w:szCs w:val="24"/>
              </w:rPr>
              <w:t xml:space="preserve">Frequency </w:t>
            </w:r>
          </w:p>
        </w:tc>
      </w:tr>
      <w:tr w:rsidR="00144B5C" w:rsidRPr="00144B5C" w14:paraId="7BFFC8D2" w14:textId="77777777" w:rsidTr="001B7738">
        <w:trPr>
          <w:trHeight w:val="320"/>
        </w:trPr>
        <w:tc>
          <w:tcPr>
            <w:tcW w:w="5040" w:type="dxa"/>
            <w:tcBorders>
              <w:top w:val="nil"/>
              <w:left w:val="nil"/>
              <w:bottom w:val="nil"/>
              <w:right w:val="nil"/>
            </w:tcBorders>
            <w:shd w:val="clear" w:color="D9D9D9" w:fill="D9D9D9"/>
            <w:noWrap/>
            <w:vAlign w:val="bottom"/>
            <w:hideMark/>
          </w:tcPr>
          <w:p w14:paraId="17371147"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 xml:space="preserve">Disorderly Conduct </w:t>
            </w:r>
          </w:p>
        </w:tc>
        <w:tc>
          <w:tcPr>
            <w:tcW w:w="1254" w:type="dxa"/>
            <w:tcBorders>
              <w:top w:val="nil"/>
              <w:left w:val="nil"/>
              <w:bottom w:val="nil"/>
              <w:right w:val="nil"/>
            </w:tcBorders>
            <w:shd w:val="clear" w:color="D9D9D9" w:fill="D9D9D9"/>
            <w:noWrap/>
            <w:vAlign w:val="bottom"/>
            <w:hideMark/>
          </w:tcPr>
          <w:p w14:paraId="369E8FCF"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3</w:t>
            </w:r>
          </w:p>
        </w:tc>
      </w:tr>
      <w:tr w:rsidR="00144B5C" w:rsidRPr="00144B5C" w14:paraId="1EDA7CBA" w14:textId="77777777" w:rsidTr="001B7738">
        <w:trPr>
          <w:trHeight w:val="320"/>
        </w:trPr>
        <w:tc>
          <w:tcPr>
            <w:tcW w:w="5040" w:type="dxa"/>
            <w:tcBorders>
              <w:top w:val="nil"/>
              <w:left w:val="nil"/>
              <w:bottom w:val="nil"/>
              <w:right w:val="nil"/>
            </w:tcBorders>
            <w:shd w:val="clear" w:color="auto" w:fill="auto"/>
            <w:noWrap/>
            <w:vAlign w:val="bottom"/>
            <w:hideMark/>
          </w:tcPr>
          <w:p w14:paraId="1EC80B37"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Misappropriation/Damage</w:t>
            </w:r>
          </w:p>
        </w:tc>
        <w:tc>
          <w:tcPr>
            <w:tcW w:w="1254" w:type="dxa"/>
            <w:tcBorders>
              <w:top w:val="nil"/>
              <w:left w:val="nil"/>
              <w:bottom w:val="nil"/>
              <w:right w:val="nil"/>
            </w:tcBorders>
            <w:shd w:val="clear" w:color="auto" w:fill="auto"/>
            <w:noWrap/>
            <w:vAlign w:val="bottom"/>
            <w:hideMark/>
          </w:tcPr>
          <w:p w14:paraId="7B62F83F"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2</w:t>
            </w:r>
          </w:p>
        </w:tc>
      </w:tr>
      <w:tr w:rsidR="00144B5C" w:rsidRPr="00144B5C" w14:paraId="79DE035F" w14:textId="77777777" w:rsidTr="001B7738">
        <w:trPr>
          <w:trHeight w:val="320"/>
        </w:trPr>
        <w:tc>
          <w:tcPr>
            <w:tcW w:w="5040" w:type="dxa"/>
            <w:tcBorders>
              <w:top w:val="nil"/>
              <w:left w:val="nil"/>
              <w:bottom w:val="nil"/>
              <w:right w:val="nil"/>
            </w:tcBorders>
            <w:shd w:val="clear" w:color="D9D9D9" w:fill="D9D9D9"/>
            <w:noWrap/>
            <w:vAlign w:val="bottom"/>
            <w:hideMark/>
          </w:tcPr>
          <w:p w14:paraId="3EEFBE84"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Driving Under the Influence</w:t>
            </w:r>
          </w:p>
        </w:tc>
        <w:tc>
          <w:tcPr>
            <w:tcW w:w="1254" w:type="dxa"/>
            <w:tcBorders>
              <w:top w:val="nil"/>
              <w:left w:val="nil"/>
              <w:bottom w:val="nil"/>
              <w:right w:val="nil"/>
            </w:tcBorders>
            <w:shd w:val="clear" w:color="D9D9D9" w:fill="D9D9D9"/>
            <w:noWrap/>
            <w:vAlign w:val="bottom"/>
            <w:hideMark/>
          </w:tcPr>
          <w:p w14:paraId="0E6CAAB8"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2</w:t>
            </w:r>
          </w:p>
        </w:tc>
      </w:tr>
      <w:tr w:rsidR="00144B5C" w:rsidRPr="00144B5C" w14:paraId="07ECC7D3" w14:textId="77777777" w:rsidTr="001B7738">
        <w:trPr>
          <w:trHeight w:val="320"/>
        </w:trPr>
        <w:tc>
          <w:tcPr>
            <w:tcW w:w="5040" w:type="dxa"/>
            <w:tcBorders>
              <w:top w:val="nil"/>
              <w:left w:val="nil"/>
              <w:bottom w:val="nil"/>
              <w:right w:val="nil"/>
            </w:tcBorders>
            <w:shd w:val="clear" w:color="auto" w:fill="auto"/>
            <w:noWrap/>
            <w:vAlign w:val="bottom"/>
            <w:hideMark/>
          </w:tcPr>
          <w:p w14:paraId="55344BFF"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Unauthorized Entry/Access</w:t>
            </w:r>
          </w:p>
        </w:tc>
        <w:tc>
          <w:tcPr>
            <w:tcW w:w="1254" w:type="dxa"/>
            <w:tcBorders>
              <w:top w:val="nil"/>
              <w:left w:val="nil"/>
              <w:bottom w:val="nil"/>
              <w:right w:val="nil"/>
            </w:tcBorders>
            <w:shd w:val="clear" w:color="auto" w:fill="auto"/>
            <w:noWrap/>
            <w:vAlign w:val="bottom"/>
            <w:hideMark/>
          </w:tcPr>
          <w:p w14:paraId="52545279"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3</w:t>
            </w:r>
          </w:p>
        </w:tc>
      </w:tr>
      <w:tr w:rsidR="00144B5C" w:rsidRPr="00144B5C" w14:paraId="6884EE0F" w14:textId="77777777" w:rsidTr="001B7738">
        <w:trPr>
          <w:trHeight w:val="320"/>
        </w:trPr>
        <w:tc>
          <w:tcPr>
            <w:tcW w:w="5040" w:type="dxa"/>
            <w:tcBorders>
              <w:top w:val="nil"/>
              <w:left w:val="nil"/>
              <w:bottom w:val="nil"/>
              <w:right w:val="nil"/>
            </w:tcBorders>
            <w:shd w:val="clear" w:color="D9D9D9" w:fill="D9D9D9"/>
            <w:noWrap/>
            <w:vAlign w:val="bottom"/>
            <w:hideMark/>
          </w:tcPr>
          <w:p w14:paraId="21BA914B"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 xml:space="preserve">Health and Safety </w:t>
            </w:r>
          </w:p>
        </w:tc>
        <w:tc>
          <w:tcPr>
            <w:tcW w:w="1254" w:type="dxa"/>
            <w:tcBorders>
              <w:top w:val="nil"/>
              <w:left w:val="nil"/>
              <w:bottom w:val="nil"/>
              <w:right w:val="nil"/>
            </w:tcBorders>
            <w:shd w:val="clear" w:color="D9D9D9" w:fill="D9D9D9"/>
            <w:noWrap/>
            <w:vAlign w:val="bottom"/>
            <w:hideMark/>
          </w:tcPr>
          <w:p w14:paraId="0D64A119"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2</w:t>
            </w:r>
          </w:p>
        </w:tc>
      </w:tr>
      <w:tr w:rsidR="00144B5C" w:rsidRPr="00144B5C" w14:paraId="20D45D57" w14:textId="77777777" w:rsidTr="001B7738">
        <w:trPr>
          <w:trHeight w:val="320"/>
        </w:trPr>
        <w:tc>
          <w:tcPr>
            <w:tcW w:w="5040" w:type="dxa"/>
            <w:tcBorders>
              <w:top w:val="nil"/>
              <w:left w:val="nil"/>
              <w:bottom w:val="nil"/>
              <w:right w:val="nil"/>
            </w:tcBorders>
            <w:shd w:val="clear" w:color="auto" w:fill="auto"/>
            <w:noWrap/>
            <w:vAlign w:val="bottom"/>
            <w:hideMark/>
          </w:tcPr>
          <w:p w14:paraId="4EAD9535"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Misrepresentation</w:t>
            </w:r>
          </w:p>
        </w:tc>
        <w:tc>
          <w:tcPr>
            <w:tcW w:w="1254" w:type="dxa"/>
            <w:tcBorders>
              <w:top w:val="nil"/>
              <w:left w:val="nil"/>
              <w:bottom w:val="nil"/>
              <w:right w:val="nil"/>
            </w:tcBorders>
            <w:shd w:val="clear" w:color="auto" w:fill="auto"/>
            <w:noWrap/>
            <w:vAlign w:val="bottom"/>
            <w:hideMark/>
          </w:tcPr>
          <w:p w14:paraId="7441F156"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4</w:t>
            </w:r>
          </w:p>
        </w:tc>
      </w:tr>
      <w:tr w:rsidR="00144B5C" w:rsidRPr="00144B5C" w14:paraId="2F1E9A1F" w14:textId="77777777" w:rsidTr="001B7738">
        <w:trPr>
          <w:trHeight w:val="320"/>
        </w:trPr>
        <w:tc>
          <w:tcPr>
            <w:tcW w:w="5040" w:type="dxa"/>
            <w:tcBorders>
              <w:top w:val="nil"/>
              <w:left w:val="nil"/>
              <w:bottom w:val="nil"/>
              <w:right w:val="nil"/>
            </w:tcBorders>
            <w:shd w:val="clear" w:color="D9D9D9" w:fill="D9D9D9"/>
            <w:noWrap/>
            <w:vAlign w:val="bottom"/>
            <w:hideMark/>
          </w:tcPr>
          <w:p w14:paraId="0E0D9811"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Failure to Comply with Directions</w:t>
            </w:r>
          </w:p>
        </w:tc>
        <w:tc>
          <w:tcPr>
            <w:tcW w:w="1254" w:type="dxa"/>
            <w:tcBorders>
              <w:top w:val="nil"/>
              <w:left w:val="nil"/>
              <w:bottom w:val="nil"/>
              <w:right w:val="nil"/>
            </w:tcBorders>
            <w:shd w:val="clear" w:color="D9D9D9" w:fill="D9D9D9"/>
            <w:noWrap/>
            <w:vAlign w:val="bottom"/>
            <w:hideMark/>
          </w:tcPr>
          <w:p w14:paraId="3A8F8643"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2</w:t>
            </w:r>
          </w:p>
        </w:tc>
      </w:tr>
      <w:tr w:rsidR="00144B5C" w:rsidRPr="00144B5C" w14:paraId="257D3BFE" w14:textId="77777777" w:rsidTr="001B7738">
        <w:trPr>
          <w:trHeight w:val="320"/>
        </w:trPr>
        <w:tc>
          <w:tcPr>
            <w:tcW w:w="5040" w:type="dxa"/>
            <w:tcBorders>
              <w:top w:val="nil"/>
              <w:left w:val="nil"/>
              <w:bottom w:val="nil"/>
              <w:right w:val="nil"/>
            </w:tcBorders>
            <w:shd w:val="clear" w:color="auto" w:fill="auto"/>
            <w:noWrap/>
            <w:vAlign w:val="bottom"/>
            <w:hideMark/>
          </w:tcPr>
          <w:p w14:paraId="440B72AD"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State and Federal Laws</w:t>
            </w:r>
          </w:p>
        </w:tc>
        <w:tc>
          <w:tcPr>
            <w:tcW w:w="1254" w:type="dxa"/>
            <w:tcBorders>
              <w:top w:val="nil"/>
              <w:left w:val="nil"/>
              <w:bottom w:val="nil"/>
              <w:right w:val="nil"/>
            </w:tcBorders>
            <w:shd w:val="clear" w:color="auto" w:fill="auto"/>
            <w:noWrap/>
            <w:vAlign w:val="bottom"/>
            <w:hideMark/>
          </w:tcPr>
          <w:p w14:paraId="063B2168"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2</w:t>
            </w:r>
          </w:p>
        </w:tc>
      </w:tr>
      <w:tr w:rsidR="00144B5C" w:rsidRPr="00144B5C" w14:paraId="2D123F1D" w14:textId="77777777" w:rsidTr="001B7738">
        <w:trPr>
          <w:trHeight w:val="320"/>
        </w:trPr>
        <w:tc>
          <w:tcPr>
            <w:tcW w:w="5040" w:type="dxa"/>
            <w:tcBorders>
              <w:top w:val="nil"/>
              <w:left w:val="nil"/>
              <w:bottom w:val="single" w:sz="8" w:space="0" w:color="000000"/>
              <w:right w:val="nil"/>
            </w:tcBorders>
            <w:shd w:val="clear" w:color="D9D9D9" w:fill="D9D9D9"/>
            <w:noWrap/>
            <w:vAlign w:val="bottom"/>
            <w:hideMark/>
          </w:tcPr>
          <w:p w14:paraId="5073555E" w14:textId="77777777" w:rsidR="00144B5C" w:rsidRPr="00144B5C" w:rsidRDefault="00144B5C" w:rsidP="00144B5C">
            <w:pPr>
              <w:spacing w:after="0" w:line="240" w:lineRule="auto"/>
              <w:rPr>
                <w:rFonts w:ascii="Calibri" w:eastAsia="Times New Roman" w:hAnsi="Calibri" w:cs="Calibri"/>
                <w:color w:val="000000"/>
                <w:sz w:val="24"/>
                <w:szCs w:val="24"/>
              </w:rPr>
            </w:pPr>
            <w:r w:rsidRPr="00144B5C">
              <w:rPr>
                <w:rFonts w:ascii="Calibri" w:eastAsia="Times New Roman" w:hAnsi="Calibri" w:cs="Calibri"/>
                <w:color w:val="000000"/>
                <w:sz w:val="24"/>
                <w:szCs w:val="24"/>
              </w:rPr>
              <w:t xml:space="preserve">Public Intoxication </w:t>
            </w:r>
          </w:p>
        </w:tc>
        <w:tc>
          <w:tcPr>
            <w:tcW w:w="1254" w:type="dxa"/>
            <w:tcBorders>
              <w:top w:val="nil"/>
              <w:left w:val="nil"/>
              <w:bottom w:val="single" w:sz="8" w:space="0" w:color="000000"/>
              <w:right w:val="nil"/>
            </w:tcBorders>
            <w:shd w:val="clear" w:color="D9D9D9" w:fill="D9D9D9"/>
            <w:noWrap/>
            <w:vAlign w:val="bottom"/>
            <w:hideMark/>
          </w:tcPr>
          <w:p w14:paraId="739EC5AC" w14:textId="77777777" w:rsidR="00144B5C" w:rsidRPr="00144B5C" w:rsidRDefault="00144B5C" w:rsidP="00144B5C">
            <w:pPr>
              <w:spacing w:after="0" w:line="240" w:lineRule="auto"/>
              <w:jc w:val="right"/>
              <w:rPr>
                <w:rFonts w:ascii="Calibri" w:eastAsia="Times New Roman" w:hAnsi="Calibri" w:cs="Calibri"/>
                <w:color w:val="000000"/>
                <w:sz w:val="24"/>
                <w:szCs w:val="24"/>
              </w:rPr>
            </w:pPr>
            <w:r w:rsidRPr="00144B5C">
              <w:rPr>
                <w:rFonts w:ascii="Calibri" w:eastAsia="Times New Roman" w:hAnsi="Calibri" w:cs="Calibri"/>
                <w:color w:val="000000"/>
                <w:sz w:val="24"/>
                <w:szCs w:val="24"/>
              </w:rPr>
              <w:t>1</w:t>
            </w:r>
          </w:p>
        </w:tc>
      </w:tr>
    </w:tbl>
    <w:p w14:paraId="48714307" w14:textId="77777777" w:rsidR="001B7738" w:rsidRPr="009153B1" w:rsidRDefault="001B7738" w:rsidP="001B7738">
      <w:pPr>
        <w:pStyle w:val="Caption"/>
        <w:framePr w:w="646" w:h="271" w:hRule="exact" w:hSpace="180" w:wrap="around" w:vAnchor="text" w:hAnchor="page" w:x="1486" w:y="1"/>
        <w:rPr>
          <w:i w:val="0"/>
        </w:rPr>
      </w:pPr>
      <w:r w:rsidRPr="009153B1">
        <w:rPr>
          <w:i w:val="0"/>
        </w:rPr>
        <w:t xml:space="preserve">Figure </w:t>
      </w:r>
      <w:r>
        <w:rPr>
          <w:i w:val="0"/>
        </w:rPr>
        <w:t>4</w:t>
      </w:r>
      <w:r w:rsidRPr="009153B1">
        <w:rPr>
          <w:i w:val="0"/>
        </w:rPr>
        <w:t xml:space="preserve">                  </w:t>
      </w:r>
    </w:p>
    <w:p w14:paraId="2A32B3A1" w14:textId="77777777" w:rsidR="001B7738" w:rsidRDefault="001B7738" w:rsidP="0078111F">
      <w:pPr>
        <w:pStyle w:val="Heading1"/>
        <w:rPr>
          <w:rFonts w:asciiTheme="minorHAnsi" w:eastAsiaTheme="minorHAnsi" w:hAnsiTheme="minorHAnsi" w:cstheme="minorBidi"/>
          <w:i/>
          <w:iCs/>
          <w:color w:val="5E5E5E" w:themeColor="text2"/>
          <w:sz w:val="18"/>
          <w:szCs w:val="18"/>
        </w:rPr>
      </w:pPr>
      <w:bookmarkStart w:id="27" w:name="_Toc51083189"/>
    </w:p>
    <w:p w14:paraId="0D17637F" w14:textId="2A1CB403" w:rsidR="0078111F" w:rsidRDefault="0078111F" w:rsidP="0078111F">
      <w:pPr>
        <w:pStyle w:val="Heading1"/>
      </w:pPr>
      <w:r>
        <w:t>Title IX Cases</w:t>
      </w:r>
      <w:bookmarkEnd w:id="26"/>
      <w:bookmarkEnd w:id="27"/>
    </w:p>
    <w:p w14:paraId="143FDE71" w14:textId="77777777" w:rsidR="0078111F" w:rsidRPr="001B1D02" w:rsidRDefault="0078111F" w:rsidP="0078111F">
      <w:pPr>
        <w:pStyle w:val="Heading2"/>
      </w:pPr>
      <w:bookmarkStart w:id="28" w:name="_Toc465167556"/>
      <w:bookmarkStart w:id="29" w:name="_Toc51083190"/>
      <w:r>
        <w:t>Sexual Assault Investigations</w:t>
      </w:r>
      <w:bookmarkEnd w:id="28"/>
      <w:bookmarkEnd w:id="29"/>
    </w:p>
    <w:p w14:paraId="575E9D8B" w14:textId="35BDB3DD" w:rsidR="002D49B3" w:rsidRPr="002D49B3" w:rsidRDefault="002D49B3" w:rsidP="002D49B3">
      <w:pPr>
        <w:spacing w:before="100" w:beforeAutospacing="1" w:after="100" w:afterAutospacing="1" w:line="240" w:lineRule="auto"/>
        <w:rPr>
          <w:rFonts w:eastAsia="Times New Roman" w:cstheme="majorHAnsi"/>
        </w:rPr>
      </w:pPr>
      <w:bookmarkStart w:id="30" w:name="_Toc465167558"/>
      <w:r w:rsidRPr="002D49B3">
        <w:rPr>
          <w:rFonts w:eastAsia="Times New Roman" w:cstheme="majorHAnsi"/>
        </w:rPr>
        <w:t xml:space="preserve">The Unified Disciplinary Procedures for Sexual Assault (UDP) applied to investigations conducted on or after June 18, 2014, through August 31, 2019. Beginning on September 1, 2019, the Dartmouth College Sexual and Gender-Based Misconduct Policy (SMP) was adopted and any new cases referred to an </w:t>
      </w:r>
      <w:r w:rsidRPr="002D49B3">
        <w:rPr>
          <w:rFonts w:eastAsia="Times New Roman" w:cstheme="majorHAnsi"/>
        </w:rPr>
        <w:lastRenderedPageBreak/>
        <w:t xml:space="preserve">Independent Investigator were processed through the Title IX Office. Those cases that were initiated prior to September 1, 2019, were resolved under the UDP and remained within the Community Standards &amp; Accountability Office through their resolution. </w:t>
      </w:r>
      <w:r w:rsidR="001E7B4E">
        <w:rPr>
          <w:rFonts w:eastAsia="Times New Roman" w:cstheme="majorHAnsi"/>
        </w:rPr>
        <w:t>For the 2019-2020</w:t>
      </w:r>
      <w:r w:rsidRPr="002D49B3">
        <w:rPr>
          <w:rFonts w:eastAsia="Times New Roman" w:cstheme="majorHAnsi"/>
        </w:rPr>
        <w:t xml:space="preserve"> academic year, six cases were referred to an Independent Investigator under the UDP</w:t>
      </w:r>
      <w:r w:rsidR="001E7B4E">
        <w:rPr>
          <w:rFonts w:eastAsia="Times New Roman" w:cstheme="majorHAnsi"/>
        </w:rPr>
        <w:t xml:space="preserve"> prior to September 1, 2019</w:t>
      </w:r>
      <w:r w:rsidRPr="002D49B3">
        <w:rPr>
          <w:rFonts w:eastAsia="Times New Roman" w:cstheme="majorHAnsi"/>
        </w:rPr>
        <w:t xml:space="preserve">. </w:t>
      </w:r>
    </w:p>
    <w:p w14:paraId="63CEC6EB" w14:textId="77777777" w:rsidR="002D49B3" w:rsidRPr="002D49B3" w:rsidRDefault="002D49B3" w:rsidP="002D49B3">
      <w:pPr>
        <w:spacing w:before="100" w:beforeAutospacing="1" w:after="100" w:afterAutospacing="1" w:line="240" w:lineRule="auto"/>
        <w:rPr>
          <w:rFonts w:eastAsia="Times New Roman" w:cstheme="majorHAnsi"/>
        </w:rPr>
      </w:pPr>
      <w:r w:rsidRPr="002D49B3">
        <w:rPr>
          <w:rFonts w:eastAsia="Times New Roman" w:cstheme="majorHAnsi"/>
        </w:rPr>
        <w:t xml:space="preserve">In one case, the Independent Investigator concluded by a preponderance of the evidence that the responding student was responsible for violating the UDP. The student was suspended for six terms. </w:t>
      </w:r>
    </w:p>
    <w:p w14:paraId="0EB21505" w14:textId="77777777" w:rsidR="002D49B3" w:rsidRPr="002D49B3" w:rsidRDefault="002D49B3" w:rsidP="002D49B3">
      <w:pPr>
        <w:spacing w:before="100" w:beforeAutospacing="1" w:after="100" w:afterAutospacing="1" w:line="240" w:lineRule="auto"/>
        <w:rPr>
          <w:rFonts w:eastAsia="Times New Roman" w:cstheme="majorHAnsi"/>
        </w:rPr>
      </w:pPr>
      <w:r w:rsidRPr="002D49B3">
        <w:rPr>
          <w:rFonts w:eastAsia="Times New Roman" w:cstheme="majorHAnsi"/>
        </w:rPr>
        <w:t xml:space="preserve">In four cases, the Independent Investigator concluded by a preponderance of the evidence that the responding student was not responsible. This ended the investigation into the reported incident. </w:t>
      </w:r>
    </w:p>
    <w:p w14:paraId="60DD06A7" w14:textId="77777777" w:rsidR="002D49B3" w:rsidRPr="002D49B3" w:rsidRDefault="002D49B3" w:rsidP="002D49B3">
      <w:pPr>
        <w:spacing w:before="100" w:beforeAutospacing="1" w:after="100" w:afterAutospacing="1" w:line="240" w:lineRule="auto"/>
        <w:rPr>
          <w:rFonts w:eastAsia="Times New Roman" w:cstheme="majorHAnsi"/>
        </w:rPr>
      </w:pPr>
      <w:r w:rsidRPr="002D49B3">
        <w:rPr>
          <w:rFonts w:eastAsia="Times New Roman" w:cstheme="majorHAnsi"/>
        </w:rPr>
        <w:t xml:space="preserve">In one case, the responding student resigned prior to the conclusion of the investigation. This ended the investigation into the reported incident, </w:t>
      </w:r>
    </w:p>
    <w:p w14:paraId="1A552A75" w14:textId="5BA80990" w:rsidR="002D49B3" w:rsidRDefault="002D49B3" w:rsidP="002D49B3">
      <w:pPr>
        <w:spacing w:before="100" w:beforeAutospacing="1" w:after="100" w:afterAutospacing="1" w:line="240" w:lineRule="auto"/>
        <w:rPr>
          <w:rFonts w:eastAsia="Times New Roman" w:cstheme="majorHAnsi"/>
        </w:rPr>
      </w:pPr>
      <w:r w:rsidRPr="002D49B3">
        <w:rPr>
          <w:rFonts w:eastAsia="Times New Roman" w:cstheme="majorHAnsi"/>
        </w:rPr>
        <w:t>Although the College cannot permanently remove someone from the campus without a disciplinary process, the Title IX Office may offer interim measures to reporting students including housing adjustments, academic accommodations, and No Contact Orders etc. prior to the conclusion of the disciplinary process. At the end of the disciplinary process, some interim measures may become permanent regardless of the findings in the individual case.</w:t>
      </w:r>
    </w:p>
    <w:p w14:paraId="3FCD61EE" w14:textId="77777777" w:rsidR="0078111F" w:rsidRDefault="0078111F" w:rsidP="0078111F">
      <w:pPr>
        <w:pStyle w:val="Heading1"/>
      </w:pPr>
      <w:bookmarkStart w:id="31" w:name="_Toc51083191"/>
      <w:r>
        <w:t>Organizational Misconduct</w:t>
      </w:r>
      <w:bookmarkEnd w:id="30"/>
      <w:bookmarkEnd w:id="31"/>
    </w:p>
    <w:tbl>
      <w:tblPr>
        <w:tblpPr w:leftFromText="180" w:rightFromText="180" w:vertAnchor="text" w:tblpY="1"/>
        <w:tblOverlap w:val="never"/>
        <w:tblW w:w="4405" w:type="dxa"/>
        <w:tblCellMar>
          <w:left w:w="0" w:type="dxa"/>
          <w:right w:w="0" w:type="dxa"/>
        </w:tblCellMar>
        <w:tblLook w:val="04A0" w:firstRow="1" w:lastRow="0" w:firstColumn="1" w:lastColumn="0" w:noHBand="0" w:noVBand="1"/>
      </w:tblPr>
      <w:tblGrid>
        <w:gridCol w:w="3420"/>
        <w:gridCol w:w="985"/>
      </w:tblGrid>
      <w:tr w:rsidR="00421AD8" w14:paraId="21D5874E" w14:textId="77777777" w:rsidTr="00421AD8">
        <w:trPr>
          <w:trHeight w:val="320"/>
        </w:trPr>
        <w:tc>
          <w:tcPr>
            <w:tcW w:w="3420" w:type="dxa"/>
            <w:tcBorders>
              <w:top w:val="single" w:sz="4" w:space="0" w:color="FFD966"/>
              <w:left w:val="single" w:sz="4" w:space="0" w:color="FFD966"/>
              <w:bottom w:val="single" w:sz="4" w:space="0" w:color="FFD966"/>
              <w:right w:val="nil"/>
            </w:tcBorders>
            <w:shd w:val="clear" w:color="FFC000" w:fill="FFC000"/>
            <w:noWrap/>
            <w:tcMar>
              <w:top w:w="15" w:type="dxa"/>
              <w:left w:w="15" w:type="dxa"/>
              <w:bottom w:w="0" w:type="dxa"/>
              <w:right w:w="15" w:type="dxa"/>
            </w:tcMar>
            <w:vAlign w:val="bottom"/>
            <w:hideMark/>
          </w:tcPr>
          <w:p w14:paraId="00E38A34" w14:textId="77777777" w:rsidR="00421AD8" w:rsidRDefault="00421AD8" w:rsidP="00421AD8">
            <w:pPr>
              <w:rPr>
                <w:rFonts w:ascii="Calibri" w:hAnsi="Calibri" w:cs="Calibri"/>
                <w:b/>
                <w:bCs/>
                <w:color w:val="FFFFFF"/>
              </w:rPr>
            </w:pPr>
            <w:r>
              <w:rPr>
                <w:rFonts w:ascii="Calibri" w:hAnsi="Calibri" w:cs="Calibri"/>
                <w:b/>
                <w:bCs/>
                <w:color w:val="FFFFFF"/>
              </w:rPr>
              <w:t xml:space="preserve">AHP Cases by Allegation </w:t>
            </w:r>
          </w:p>
        </w:tc>
        <w:tc>
          <w:tcPr>
            <w:tcW w:w="985" w:type="dxa"/>
            <w:tcBorders>
              <w:top w:val="single" w:sz="4" w:space="0" w:color="FFD966"/>
              <w:left w:val="nil"/>
              <w:bottom w:val="single" w:sz="4" w:space="0" w:color="FFD966"/>
              <w:right w:val="single" w:sz="4" w:space="0" w:color="FFD966"/>
            </w:tcBorders>
            <w:shd w:val="clear" w:color="FFC000" w:fill="FFC000"/>
            <w:noWrap/>
            <w:tcMar>
              <w:top w:w="15" w:type="dxa"/>
              <w:left w:w="15" w:type="dxa"/>
              <w:bottom w:w="0" w:type="dxa"/>
              <w:right w:w="15" w:type="dxa"/>
            </w:tcMar>
            <w:vAlign w:val="bottom"/>
            <w:hideMark/>
          </w:tcPr>
          <w:p w14:paraId="3439A0AB" w14:textId="77777777" w:rsidR="00421AD8" w:rsidRDefault="00421AD8" w:rsidP="00421AD8">
            <w:pPr>
              <w:rPr>
                <w:rFonts w:ascii="Calibri" w:hAnsi="Calibri" w:cs="Calibri"/>
                <w:b/>
                <w:bCs/>
                <w:color w:val="FFFFFF"/>
              </w:rPr>
            </w:pPr>
            <w:r>
              <w:rPr>
                <w:rFonts w:ascii="Calibri" w:hAnsi="Calibri" w:cs="Calibri"/>
                <w:b/>
                <w:bCs/>
                <w:color w:val="FFFFFF"/>
              </w:rPr>
              <w:t>Frequency</w:t>
            </w:r>
          </w:p>
        </w:tc>
      </w:tr>
      <w:tr w:rsidR="00421AD8" w14:paraId="3761E922"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FFF2CC" w:fill="FFF2CC"/>
            <w:noWrap/>
            <w:tcMar>
              <w:top w:w="15" w:type="dxa"/>
              <w:left w:w="15" w:type="dxa"/>
              <w:bottom w:w="0" w:type="dxa"/>
              <w:right w:w="15" w:type="dxa"/>
            </w:tcMar>
            <w:vAlign w:val="bottom"/>
            <w:hideMark/>
          </w:tcPr>
          <w:p w14:paraId="17B48FBF" w14:textId="77777777" w:rsidR="00421AD8" w:rsidRDefault="00421AD8" w:rsidP="00421AD8">
            <w:pPr>
              <w:rPr>
                <w:rFonts w:ascii="Calibri" w:hAnsi="Calibri" w:cs="Calibri"/>
                <w:color w:val="000000"/>
              </w:rPr>
            </w:pPr>
            <w:r>
              <w:rPr>
                <w:rFonts w:ascii="Calibri" w:hAnsi="Calibri" w:cs="Calibri"/>
                <w:color w:val="000000"/>
              </w:rPr>
              <w:t xml:space="preserve">Cheating on exam/quiz </w:t>
            </w:r>
          </w:p>
        </w:tc>
        <w:tc>
          <w:tcPr>
            <w:tcW w:w="985" w:type="dxa"/>
            <w:tcBorders>
              <w:top w:val="single" w:sz="4" w:space="0" w:color="FFD966"/>
              <w:left w:val="nil"/>
              <w:bottom w:val="single" w:sz="4" w:space="0" w:color="FFD966"/>
              <w:right w:val="single" w:sz="4" w:space="0" w:color="FFD966"/>
            </w:tcBorders>
            <w:shd w:val="clear" w:color="FFF2CC" w:fill="FFF2CC"/>
            <w:noWrap/>
            <w:tcMar>
              <w:top w:w="15" w:type="dxa"/>
              <w:left w:w="15" w:type="dxa"/>
              <w:bottom w:w="0" w:type="dxa"/>
              <w:right w:w="15" w:type="dxa"/>
            </w:tcMar>
            <w:vAlign w:val="bottom"/>
            <w:hideMark/>
          </w:tcPr>
          <w:p w14:paraId="04FB4A66" w14:textId="77777777" w:rsidR="00421AD8" w:rsidRDefault="00421AD8" w:rsidP="00421AD8">
            <w:pPr>
              <w:jc w:val="right"/>
              <w:rPr>
                <w:rFonts w:ascii="Calibri" w:hAnsi="Calibri" w:cs="Calibri"/>
                <w:color w:val="000000"/>
              </w:rPr>
            </w:pPr>
            <w:r>
              <w:rPr>
                <w:rFonts w:ascii="Calibri" w:hAnsi="Calibri" w:cs="Calibri"/>
                <w:color w:val="000000"/>
              </w:rPr>
              <w:t>8</w:t>
            </w:r>
          </w:p>
        </w:tc>
      </w:tr>
      <w:tr w:rsidR="00421AD8" w14:paraId="3DB5B903"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auto" w:fill="auto"/>
            <w:noWrap/>
            <w:tcMar>
              <w:top w:w="15" w:type="dxa"/>
              <w:left w:w="15" w:type="dxa"/>
              <w:bottom w:w="0" w:type="dxa"/>
              <w:right w:w="15" w:type="dxa"/>
            </w:tcMar>
            <w:vAlign w:val="bottom"/>
            <w:hideMark/>
          </w:tcPr>
          <w:p w14:paraId="423996C7" w14:textId="77777777" w:rsidR="00421AD8" w:rsidRDefault="00421AD8" w:rsidP="00421AD8">
            <w:pPr>
              <w:rPr>
                <w:rFonts w:ascii="Calibri" w:hAnsi="Calibri" w:cs="Calibri"/>
                <w:color w:val="000000"/>
              </w:rPr>
            </w:pPr>
            <w:r>
              <w:rPr>
                <w:rFonts w:ascii="Calibri" w:hAnsi="Calibri" w:cs="Calibri"/>
                <w:color w:val="000000"/>
              </w:rPr>
              <w:t xml:space="preserve">Unauthorized Collab </w:t>
            </w:r>
          </w:p>
        </w:tc>
        <w:tc>
          <w:tcPr>
            <w:tcW w:w="985" w:type="dxa"/>
            <w:tcBorders>
              <w:top w:val="single" w:sz="4" w:space="0" w:color="FFD966"/>
              <w:left w:val="nil"/>
              <w:bottom w:val="single" w:sz="4" w:space="0" w:color="FFD966"/>
              <w:right w:val="single" w:sz="4" w:space="0" w:color="FFD966"/>
            </w:tcBorders>
            <w:shd w:val="clear" w:color="auto" w:fill="auto"/>
            <w:noWrap/>
            <w:tcMar>
              <w:top w:w="15" w:type="dxa"/>
              <w:left w:w="15" w:type="dxa"/>
              <w:bottom w:w="0" w:type="dxa"/>
              <w:right w:w="15" w:type="dxa"/>
            </w:tcMar>
            <w:vAlign w:val="bottom"/>
            <w:hideMark/>
          </w:tcPr>
          <w:p w14:paraId="365A3526" w14:textId="77777777" w:rsidR="00421AD8" w:rsidRDefault="00421AD8" w:rsidP="00421AD8">
            <w:pPr>
              <w:jc w:val="right"/>
              <w:rPr>
                <w:rFonts w:ascii="Calibri" w:hAnsi="Calibri" w:cs="Calibri"/>
                <w:color w:val="000000"/>
              </w:rPr>
            </w:pPr>
            <w:r>
              <w:rPr>
                <w:rFonts w:ascii="Calibri" w:hAnsi="Calibri" w:cs="Calibri"/>
                <w:color w:val="000000"/>
              </w:rPr>
              <w:t>17</w:t>
            </w:r>
          </w:p>
        </w:tc>
      </w:tr>
      <w:tr w:rsidR="00421AD8" w14:paraId="1A800DC7"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FFF2CC" w:fill="FFF2CC"/>
            <w:noWrap/>
            <w:tcMar>
              <w:top w:w="15" w:type="dxa"/>
              <w:left w:w="15" w:type="dxa"/>
              <w:bottom w:w="0" w:type="dxa"/>
              <w:right w:w="15" w:type="dxa"/>
            </w:tcMar>
            <w:vAlign w:val="bottom"/>
            <w:hideMark/>
          </w:tcPr>
          <w:p w14:paraId="7F87897E" w14:textId="77777777" w:rsidR="00421AD8" w:rsidRDefault="00421AD8" w:rsidP="00421AD8">
            <w:pPr>
              <w:rPr>
                <w:rFonts w:ascii="Calibri" w:hAnsi="Calibri" w:cs="Calibri"/>
                <w:color w:val="000000"/>
              </w:rPr>
            </w:pPr>
            <w:proofErr w:type="spellStart"/>
            <w:r>
              <w:rPr>
                <w:rFonts w:ascii="Calibri" w:hAnsi="Calibri" w:cs="Calibri"/>
                <w:color w:val="000000"/>
              </w:rPr>
              <w:t>Plagarism</w:t>
            </w:r>
            <w:proofErr w:type="spellEnd"/>
            <w:r>
              <w:rPr>
                <w:rFonts w:ascii="Calibri" w:hAnsi="Calibri" w:cs="Calibri"/>
                <w:color w:val="000000"/>
              </w:rPr>
              <w:t xml:space="preserve"> </w:t>
            </w:r>
          </w:p>
        </w:tc>
        <w:tc>
          <w:tcPr>
            <w:tcW w:w="985" w:type="dxa"/>
            <w:tcBorders>
              <w:top w:val="single" w:sz="4" w:space="0" w:color="FFD966"/>
              <w:left w:val="nil"/>
              <w:bottom w:val="single" w:sz="4" w:space="0" w:color="FFD966"/>
              <w:right w:val="single" w:sz="4" w:space="0" w:color="FFD966"/>
            </w:tcBorders>
            <w:shd w:val="clear" w:color="FFF2CC" w:fill="FFF2CC"/>
            <w:noWrap/>
            <w:tcMar>
              <w:top w:w="15" w:type="dxa"/>
              <w:left w:w="15" w:type="dxa"/>
              <w:bottom w:w="0" w:type="dxa"/>
              <w:right w:w="15" w:type="dxa"/>
            </w:tcMar>
            <w:vAlign w:val="bottom"/>
            <w:hideMark/>
          </w:tcPr>
          <w:p w14:paraId="0DB2AC13" w14:textId="77777777" w:rsidR="00421AD8" w:rsidRDefault="00421AD8" w:rsidP="00421AD8">
            <w:pPr>
              <w:jc w:val="right"/>
              <w:rPr>
                <w:rFonts w:ascii="Calibri" w:hAnsi="Calibri" w:cs="Calibri"/>
                <w:color w:val="000000"/>
              </w:rPr>
            </w:pPr>
            <w:r>
              <w:rPr>
                <w:rFonts w:ascii="Calibri" w:hAnsi="Calibri" w:cs="Calibri"/>
                <w:color w:val="000000"/>
              </w:rPr>
              <w:t>6</w:t>
            </w:r>
          </w:p>
        </w:tc>
      </w:tr>
      <w:tr w:rsidR="00421AD8" w14:paraId="42A2BC18"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auto" w:fill="auto"/>
            <w:noWrap/>
            <w:tcMar>
              <w:top w:w="15" w:type="dxa"/>
              <w:left w:w="15" w:type="dxa"/>
              <w:bottom w:w="0" w:type="dxa"/>
              <w:right w:w="15" w:type="dxa"/>
            </w:tcMar>
            <w:vAlign w:val="bottom"/>
            <w:hideMark/>
          </w:tcPr>
          <w:p w14:paraId="3D9D3999" w14:textId="77777777" w:rsidR="00421AD8" w:rsidRDefault="00421AD8" w:rsidP="00421AD8">
            <w:pPr>
              <w:rPr>
                <w:rFonts w:ascii="Calibri" w:hAnsi="Calibri" w:cs="Calibri"/>
                <w:color w:val="000000"/>
              </w:rPr>
            </w:pPr>
            <w:r>
              <w:rPr>
                <w:rFonts w:ascii="Calibri" w:hAnsi="Calibri" w:cs="Calibri"/>
                <w:color w:val="000000"/>
              </w:rPr>
              <w:t xml:space="preserve">Cheating on homework </w:t>
            </w:r>
          </w:p>
        </w:tc>
        <w:tc>
          <w:tcPr>
            <w:tcW w:w="985" w:type="dxa"/>
            <w:tcBorders>
              <w:top w:val="single" w:sz="4" w:space="0" w:color="FFD966"/>
              <w:left w:val="nil"/>
              <w:bottom w:val="single" w:sz="4" w:space="0" w:color="FFD966"/>
              <w:right w:val="single" w:sz="4" w:space="0" w:color="FFD966"/>
            </w:tcBorders>
            <w:shd w:val="clear" w:color="auto" w:fill="auto"/>
            <w:noWrap/>
            <w:tcMar>
              <w:top w:w="15" w:type="dxa"/>
              <w:left w:w="15" w:type="dxa"/>
              <w:bottom w:w="0" w:type="dxa"/>
              <w:right w:w="15" w:type="dxa"/>
            </w:tcMar>
            <w:vAlign w:val="bottom"/>
            <w:hideMark/>
          </w:tcPr>
          <w:p w14:paraId="53B78629" w14:textId="77777777" w:rsidR="00421AD8" w:rsidRDefault="00421AD8" w:rsidP="00421AD8">
            <w:pPr>
              <w:jc w:val="right"/>
              <w:rPr>
                <w:rFonts w:ascii="Calibri" w:hAnsi="Calibri" w:cs="Calibri"/>
                <w:color w:val="000000"/>
              </w:rPr>
            </w:pPr>
            <w:r>
              <w:rPr>
                <w:rFonts w:ascii="Calibri" w:hAnsi="Calibri" w:cs="Calibri"/>
                <w:color w:val="000000"/>
              </w:rPr>
              <w:t>3</w:t>
            </w:r>
          </w:p>
        </w:tc>
      </w:tr>
      <w:tr w:rsidR="00421AD8" w14:paraId="0D5DB4FE"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FFF2CC" w:fill="FFF2CC"/>
            <w:noWrap/>
            <w:tcMar>
              <w:top w:w="15" w:type="dxa"/>
              <w:left w:w="15" w:type="dxa"/>
              <w:bottom w:w="0" w:type="dxa"/>
              <w:right w:w="15" w:type="dxa"/>
            </w:tcMar>
            <w:vAlign w:val="bottom"/>
            <w:hideMark/>
          </w:tcPr>
          <w:p w14:paraId="7816BF74" w14:textId="77777777" w:rsidR="00421AD8" w:rsidRDefault="00421AD8" w:rsidP="00421AD8">
            <w:pPr>
              <w:rPr>
                <w:rFonts w:ascii="Calibri" w:hAnsi="Calibri" w:cs="Calibri"/>
                <w:color w:val="000000"/>
              </w:rPr>
            </w:pPr>
            <w:r>
              <w:rPr>
                <w:rFonts w:ascii="Calibri" w:hAnsi="Calibri" w:cs="Calibri"/>
                <w:color w:val="000000"/>
              </w:rPr>
              <w:t xml:space="preserve">Coding Assignment </w:t>
            </w:r>
          </w:p>
        </w:tc>
        <w:tc>
          <w:tcPr>
            <w:tcW w:w="985" w:type="dxa"/>
            <w:tcBorders>
              <w:top w:val="single" w:sz="4" w:space="0" w:color="FFD966"/>
              <w:left w:val="nil"/>
              <w:bottom w:val="single" w:sz="4" w:space="0" w:color="FFD966"/>
              <w:right w:val="single" w:sz="4" w:space="0" w:color="FFD966"/>
            </w:tcBorders>
            <w:shd w:val="clear" w:color="FFF2CC" w:fill="FFF2CC"/>
            <w:noWrap/>
            <w:tcMar>
              <w:top w:w="15" w:type="dxa"/>
              <w:left w:w="15" w:type="dxa"/>
              <w:bottom w:w="0" w:type="dxa"/>
              <w:right w:w="15" w:type="dxa"/>
            </w:tcMar>
            <w:vAlign w:val="bottom"/>
            <w:hideMark/>
          </w:tcPr>
          <w:p w14:paraId="1BBBC412" w14:textId="77777777" w:rsidR="00421AD8" w:rsidRDefault="00421AD8" w:rsidP="00421AD8">
            <w:pPr>
              <w:jc w:val="right"/>
              <w:rPr>
                <w:rFonts w:ascii="Calibri" w:hAnsi="Calibri" w:cs="Calibri"/>
                <w:color w:val="000000"/>
              </w:rPr>
            </w:pPr>
            <w:r>
              <w:rPr>
                <w:rFonts w:ascii="Calibri" w:hAnsi="Calibri" w:cs="Calibri"/>
                <w:color w:val="000000"/>
              </w:rPr>
              <w:t>7</w:t>
            </w:r>
          </w:p>
        </w:tc>
      </w:tr>
      <w:tr w:rsidR="00421AD8" w14:paraId="7DF126AC"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auto" w:fill="auto"/>
            <w:noWrap/>
            <w:tcMar>
              <w:top w:w="15" w:type="dxa"/>
              <w:left w:w="15" w:type="dxa"/>
              <w:bottom w:w="0" w:type="dxa"/>
              <w:right w:w="15" w:type="dxa"/>
            </w:tcMar>
            <w:vAlign w:val="bottom"/>
            <w:hideMark/>
          </w:tcPr>
          <w:p w14:paraId="5EF52E91" w14:textId="77777777" w:rsidR="00421AD8" w:rsidRDefault="00421AD8" w:rsidP="00421AD8">
            <w:pPr>
              <w:rPr>
                <w:rFonts w:ascii="Calibri" w:hAnsi="Calibri" w:cs="Calibri"/>
                <w:color w:val="000000"/>
              </w:rPr>
            </w:pPr>
            <w:r>
              <w:rPr>
                <w:rFonts w:ascii="Calibri" w:hAnsi="Calibri" w:cs="Calibri"/>
                <w:color w:val="000000"/>
              </w:rPr>
              <w:t xml:space="preserve">Lab Assignment </w:t>
            </w:r>
          </w:p>
        </w:tc>
        <w:tc>
          <w:tcPr>
            <w:tcW w:w="985" w:type="dxa"/>
            <w:tcBorders>
              <w:top w:val="single" w:sz="4" w:space="0" w:color="FFD966"/>
              <w:left w:val="nil"/>
              <w:bottom w:val="single" w:sz="4" w:space="0" w:color="FFD966"/>
              <w:right w:val="single" w:sz="4" w:space="0" w:color="FFD966"/>
            </w:tcBorders>
            <w:shd w:val="clear" w:color="auto" w:fill="auto"/>
            <w:noWrap/>
            <w:tcMar>
              <w:top w:w="15" w:type="dxa"/>
              <w:left w:w="15" w:type="dxa"/>
              <w:bottom w:w="0" w:type="dxa"/>
              <w:right w:w="15" w:type="dxa"/>
            </w:tcMar>
            <w:vAlign w:val="bottom"/>
            <w:hideMark/>
          </w:tcPr>
          <w:p w14:paraId="7F0856A6" w14:textId="77777777" w:rsidR="00421AD8" w:rsidRDefault="00421AD8" w:rsidP="00421AD8">
            <w:pPr>
              <w:jc w:val="right"/>
              <w:rPr>
                <w:rFonts w:ascii="Calibri" w:hAnsi="Calibri" w:cs="Calibri"/>
                <w:color w:val="000000"/>
              </w:rPr>
            </w:pPr>
            <w:r>
              <w:rPr>
                <w:rFonts w:ascii="Calibri" w:hAnsi="Calibri" w:cs="Calibri"/>
                <w:color w:val="000000"/>
              </w:rPr>
              <w:t>7</w:t>
            </w:r>
          </w:p>
        </w:tc>
      </w:tr>
      <w:tr w:rsidR="00421AD8" w14:paraId="505F6A1C" w14:textId="77777777" w:rsidTr="00421AD8">
        <w:trPr>
          <w:trHeight w:val="320"/>
        </w:trPr>
        <w:tc>
          <w:tcPr>
            <w:tcW w:w="0" w:type="auto"/>
            <w:tcBorders>
              <w:top w:val="single" w:sz="4" w:space="0" w:color="FFD966"/>
              <w:left w:val="single" w:sz="4" w:space="0" w:color="FFD966"/>
              <w:bottom w:val="single" w:sz="4" w:space="0" w:color="FFD966"/>
              <w:right w:val="nil"/>
            </w:tcBorders>
            <w:shd w:val="clear" w:color="FFF2CC" w:fill="FFF2CC"/>
            <w:noWrap/>
            <w:tcMar>
              <w:top w:w="15" w:type="dxa"/>
              <w:left w:w="15" w:type="dxa"/>
              <w:bottom w:w="0" w:type="dxa"/>
              <w:right w:w="15" w:type="dxa"/>
            </w:tcMar>
            <w:vAlign w:val="bottom"/>
            <w:hideMark/>
          </w:tcPr>
          <w:p w14:paraId="276584CE" w14:textId="77777777" w:rsidR="00421AD8" w:rsidRDefault="00421AD8" w:rsidP="00421AD8">
            <w:pPr>
              <w:rPr>
                <w:rFonts w:ascii="Calibri" w:hAnsi="Calibri" w:cs="Calibri"/>
                <w:color w:val="000000"/>
              </w:rPr>
            </w:pPr>
            <w:r>
              <w:rPr>
                <w:rFonts w:ascii="Calibri" w:hAnsi="Calibri" w:cs="Calibri"/>
                <w:color w:val="000000"/>
              </w:rPr>
              <w:t xml:space="preserve">Math </w:t>
            </w:r>
          </w:p>
        </w:tc>
        <w:tc>
          <w:tcPr>
            <w:tcW w:w="985" w:type="dxa"/>
            <w:tcBorders>
              <w:top w:val="single" w:sz="4" w:space="0" w:color="FFD966"/>
              <w:left w:val="nil"/>
              <w:bottom w:val="single" w:sz="4" w:space="0" w:color="FFD966"/>
              <w:right w:val="single" w:sz="4" w:space="0" w:color="FFD966"/>
            </w:tcBorders>
            <w:shd w:val="clear" w:color="FFF2CC" w:fill="FFF2CC"/>
            <w:noWrap/>
            <w:tcMar>
              <w:top w:w="15" w:type="dxa"/>
              <w:left w:w="15" w:type="dxa"/>
              <w:bottom w:w="0" w:type="dxa"/>
              <w:right w:w="15" w:type="dxa"/>
            </w:tcMar>
            <w:vAlign w:val="bottom"/>
            <w:hideMark/>
          </w:tcPr>
          <w:p w14:paraId="7CA49119" w14:textId="77777777" w:rsidR="00421AD8" w:rsidRDefault="00421AD8" w:rsidP="00421AD8">
            <w:pPr>
              <w:jc w:val="right"/>
              <w:rPr>
                <w:rFonts w:ascii="Calibri" w:hAnsi="Calibri" w:cs="Calibri"/>
                <w:color w:val="000000"/>
              </w:rPr>
            </w:pPr>
            <w:r>
              <w:rPr>
                <w:rFonts w:ascii="Calibri" w:hAnsi="Calibri" w:cs="Calibri"/>
                <w:color w:val="000000"/>
              </w:rPr>
              <w:t>2</w:t>
            </w:r>
          </w:p>
        </w:tc>
      </w:tr>
    </w:tbl>
    <w:p w14:paraId="25B50C3B" w14:textId="69A322B8" w:rsidR="00404B91" w:rsidRPr="00404B91" w:rsidRDefault="00404B91" w:rsidP="00404B91">
      <w:r>
        <w:t>At their best, student organizations present avenues for students to develop leadership skills, explore shared interests, and enrich our campus culture.  As stated in the Group Accountability Policy</w:t>
      </w:r>
      <w:r>
        <w:rPr>
          <w:rStyle w:val="FootnoteReference"/>
        </w:rPr>
        <w:footnoteReference w:id="4"/>
      </w:r>
      <w:r>
        <w:t xml:space="preserve">, the conduct of individuals functioning as </w:t>
      </w:r>
      <w:r w:rsidR="009E3448">
        <w:t>members</w:t>
      </w:r>
      <w:r>
        <w:t xml:space="preserve"> or leader</w:t>
      </w:r>
      <w:r w:rsidR="009E3448">
        <w:t>s</w:t>
      </w:r>
      <w:r>
        <w:t xml:space="preserve"> of a student organization may have consequences for that organization.  The most commonly heard organizational allegations are service of alcohol to underage students and other violations of the Alcohol Management Procedures.</w:t>
      </w:r>
    </w:p>
    <w:p w14:paraId="495EEF72" w14:textId="77777777" w:rsidR="00F43C26" w:rsidRPr="009153B1" w:rsidRDefault="00F43C26" w:rsidP="00F43C26">
      <w:pPr>
        <w:pStyle w:val="Caption"/>
        <w:framePr w:w="691" w:h="241" w:hRule="exact" w:hSpace="180" w:wrap="around" w:vAnchor="text" w:hAnchor="page" w:x="1501" w:y="771"/>
        <w:rPr>
          <w:i w:val="0"/>
        </w:rPr>
      </w:pPr>
      <w:r w:rsidRPr="009153B1">
        <w:rPr>
          <w:i w:val="0"/>
        </w:rPr>
        <w:t xml:space="preserve">Figure </w:t>
      </w:r>
      <w:r>
        <w:rPr>
          <w:i w:val="0"/>
        </w:rPr>
        <w:t>4</w:t>
      </w:r>
      <w:r w:rsidRPr="009153B1">
        <w:rPr>
          <w:i w:val="0"/>
        </w:rPr>
        <w:t xml:space="preserve">                  </w:t>
      </w:r>
    </w:p>
    <w:p w14:paraId="2B5AEEDB" w14:textId="77777777" w:rsidR="00F43C26" w:rsidRDefault="0078111F" w:rsidP="0078111F">
      <w:r>
        <w:t xml:space="preserve">The organizational conduct process mirrors the undergraduate student conduct process. Cases which could result in suspension or de-recognition </w:t>
      </w:r>
    </w:p>
    <w:p w14:paraId="452271D4" w14:textId="28499EB9" w:rsidR="00CF52AA" w:rsidRDefault="0078111F" w:rsidP="0078111F">
      <w:r>
        <w:t xml:space="preserve">are heard by the Organizational Adjudication Committee (OAC) while cases that would result in a lower sanction (including probation or </w:t>
      </w:r>
      <w:r w:rsidR="00CA1DB1">
        <w:t>alcohol</w:t>
      </w:r>
      <w:r>
        <w:t xml:space="preserve"> probation) </w:t>
      </w:r>
      <w:r w:rsidR="009E3448">
        <w:t xml:space="preserve">are </w:t>
      </w:r>
      <w:r w:rsidR="00AA0545">
        <w:t>resolved through</w:t>
      </w:r>
      <w:r w:rsidR="009E3448">
        <w:t xml:space="preserve"> administrative hearings.</w:t>
      </w:r>
      <w:r>
        <w:t xml:space="preserve"> </w:t>
      </w:r>
    </w:p>
    <w:p w14:paraId="452A078A" w14:textId="57E2208B" w:rsidR="00631985" w:rsidRDefault="000D1A4D" w:rsidP="0078111F">
      <w:r>
        <w:t xml:space="preserve">During the </w:t>
      </w:r>
      <w:r w:rsidR="002D49B3">
        <w:t>2019-2020</w:t>
      </w:r>
      <w:r w:rsidR="00173AFB">
        <w:t xml:space="preserve"> academic year,</w:t>
      </w:r>
      <w:r w:rsidR="0049343D">
        <w:t xml:space="preserve"> the</w:t>
      </w:r>
      <w:r w:rsidR="00173AFB">
        <w:t>re were</w:t>
      </w:r>
      <w:r w:rsidR="0049343D">
        <w:t xml:space="preserve"> 25 </w:t>
      </w:r>
      <w:r w:rsidR="0078111F">
        <w:t xml:space="preserve">cases </w:t>
      </w:r>
      <w:r w:rsidR="00173AFB">
        <w:t>involving organizations.</w:t>
      </w:r>
      <w:r w:rsidR="0049343D">
        <w:t xml:space="preserve"> 19</w:t>
      </w:r>
      <w:r w:rsidR="000039B4">
        <w:t xml:space="preserve"> of </w:t>
      </w:r>
      <w:r w:rsidR="0078111F">
        <w:t>these</w:t>
      </w:r>
      <w:r w:rsidR="00AB2377">
        <w:t xml:space="preserve"> cases</w:t>
      </w:r>
      <w:r w:rsidR="0078111F">
        <w:t xml:space="preserve"> were resolved throug</w:t>
      </w:r>
      <w:r w:rsidR="00536BA9">
        <w:t>h the normal College process</w:t>
      </w:r>
      <w:r w:rsidR="00144B5C">
        <w:t>;</w:t>
      </w:r>
      <w:r w:rsidR="0049343D">
        <w:t xml:space="preserve"> 14</w:t>
      </w:r>
      <w:r w:rsidR="00AA0545">
        <w:t xml:space="preserve"> </w:t>
      </w:r>
      <w:r w:rsidR="00AB2377">
        <w:t>of the cases were</w:t>
      </w:r>
      <w:r w:rsidR="0078111F">
        <w:t xml:space="preserve"> ad</w:t>
      </w:r>
      <w:r w:rsidR="009E3448">
        <w:t xml:space="preserve">ministrative </w:t>
      </w:r>
      <w:r w:rsidR="00D96D75">
        <w:t>hearing</w:t>
      </w:r>
      <w:r w:rsidR="009E3448">
        <w:t>s</w:t>
      </w:r>
      <w:r w:rsidR="003D79B8">
        <w:t>,</w:t>
      </w:r>
      <w:r w:rsidR="000039B4">
        <w:t xml:space="preserve"> </w:t>
      </w:r>
      <w:r w:rsidR="00D96D75">
        <w:t xml:space="preserve">and </w:t>
      </w:r>
      <w:r w:rsidR="0049343D">
        <w:t>5</w:t>
      </w:r>
      <w:r w:rsidR="00AA0545">
        <w:t xml:space="preserve"> </w:t>
      </w:r>
      <w:r w:rsidR="00AB2377">
        <w:t>w</w:t>
      </w:r>
      <w:r w:rsidR="000039B4">
        <w:t>ere</w:t>
      </w:r>
      <w:r w:rsidR="00AB2377">
        <w:t xml:space="preserve"> heard </w:t>
      </w:r>
      <w:r w:rsidR="00AA0545">
        <w:t>by the OAC.</w:t>
      </w:r>
      <w:r w:rsidR="0078111F">
        <w:t xml:space="preserve"> </w:t>
      </w:r>
      <w:r w:rsidR="001F2884">
        <w:t>6 resulted in educational resolutions.</w:t>
      </w:r>
      <w:r w:rsidR="00536BA9">
        <w:t xml:space="preserve"> </w:t>
      </w:r>
      <w:r w:rsidR="0049343D">
        <w:t>21</w:t>
      </w:r>
      <w:r w:rsidR="004A616C">
        <w:t xml:space="preserve"> cases involved Greek-letter </w:t>
      </w:r>
      <w:r w:rsidR="004A616C">
        <w:lastRenderedPageBreak/>
        <w:t>organizations</w:t>
      </w:r>
      <w:r w:rsidR="0049343D">
        <w:t xml:space="preserve">, </w:t>
      </w:r>
      <w:r w:rsidR="001F2884">
        <w:t>3</w:t>
      </w:r>
      <w:r w:rsidR="004A616C">
        <w:t xml:space="preserve"> cases involved athletic organizations</w:t>
      </w:r>
      <w:r w:rsidR="001F2884">
        <w:t>, and 1 involved a club.</w:t>
      </w:r>
      <w:r w:rsidR="0049774A">
        <w:t xml:space="preserve"> </w:t>
      </w:r>
      <w:r w:rsidR="004A616C">
        <w:t xml:space="preserve">Of the </w:t>
      </w:r>
      <w:r w:rsidR="0049343D">
        <w:t>19</w:t>
      </w:r>
      <w:r w:rsidR="004A616C">
        <w:t xml:space="preserve"> cases, 18 (95%) resulted in a finding of responsibilit</w:t>
      </w:r>
      <w:r w:rsidR="00331728">
        <w:t>y</w:t>
      </w:r>
      <w:r w:rsidR="004A616C">
        <w:t>, including those organizations that admitted to the allegations, and one (5%) resulted in findings of not responsible.</w:t>
      </w:r>
    </w:p>
    <w:p w14:paraId="6FF744A0" w14:textId="6085AC09" w:rsidR="007D1770" w:rsidRDefault="008D7B51" w:rsidP="0078111F">
      <w:r>
        <w:t xml:space="preserve">In </w:t>
      </w:r>
      <w:r w:rsidR="00014449">
        <w:t>12</w:t>
      </w:r>
      <w:r>
        <w:t xml:space="preserve"> </w:t>
      </w:r>
      <w:r w:rsidR="00880EFD">
        <w:t>cases</w:t>
      </w:r>
      <w:r w:rsidR="0078111F">
        <w:t xml:space="preserve">, the organization was alleged to have violated the College’s Alcohol Policy. Figure </w:t>
      </w:r>
      <w:r w:rsidR="00CF52AA">
        <w:t>4</w:t>
      </w:r>
      <w:r w:rsidR="0078111F">
        <w:t xml:space="preserve"> shows the frequency of each </w:t>
      </w:r>
      <w:r w:rsidR="00E81A56">
        <w:t xml:space="preserve">allegation received by </w:t>
      </w:r>
      <w:r w:rsidR="0078111F">
        <w:t xml:space="preserve">an organization. The number of </w:t>
      </w:r>
      <w:r w:rsidR="00E935ED">
        <w:t>allegations</w:t>
      </w:r>
      <w:r w:rsidR="0078111F">
        <w:t xml:space="preserve"> is greater than the number of cases</w:t>
      </w:r>
      <w:r w:rsidR="00E81A56">
        <w:t xml:space="preserve"> because some organizations </w:t>
      </w:r>
      <w:r w:rsidR="006039A8">
        <w:t>recei</w:t>
      </w:r>
      <w:r w:rsidR="00E81A56">
        <w:t xml:space="preserve">ved allegations for </w:t>
      </w:r>
      <w:r w:rsidR="0078111F">
        <w:t xml:space="preserve">multiple violations of </w:t>
      </w:r>
      <w:r w:rsidR="00E81A56">
        <w:t xml:space="preserve">a </w:t>
      </w:r>
      <w:r w:rsidR="0078111F">
        <w:t>policy in a single case.</w:t>
      </w:r>
    </w:p>
    <w:p w14:paraId="0F2CFF02" w14:textId="77777777" w:rsidR="006203B2" w:rsidRDefault="0078111F" w:rsidP="0078111F">
      <w:r>
        <w:t xml:space="preserve">Figure </w:t>
      </w:r>
      <w:r w:rsidR="00CF52AA">
        <w:t>5</w:t>
      </w:r>
      <w:r w:rsidRPr="001F31B6">
        <w:t xml:space="preserve"> </w:t>
      </w:r>
      <w:r>
        <w:t>lists the frequency of sanctions organizatio</w:t>
      </w:r>
      <w:r w:rsidR="008D7B51">
        <w:t xml:space="preserve">ns received during the </w:t>
      </w:r>
      <w:r w:rsidR="00E63E98">
        <w:t xml:space="preserve">2019-2020 </w:t>
      </w:r>
      <w:r>
        <w:t>academic year. Organizations are often give</w:t>
      </w:r>
      <w:r w:rsidR="006F5242">
        <w:t>n a certain number of terms of</w:t>
      </w:r>
      <w:r>
        <w:t xml:space="preserve"> suspension or </w:t>
      </w:r>
      <w:r w:rsidR="005E246B">
        <w:t xml:space="preserve">Alcohol </w:t>
      </w:r>
      <w:r>
        <w:t xml:space="preserve">Probation followed by a period of </w:t>
      </w:r>
    </w:p>
    <w:p w14:paraId="78E79CCE" w14:textId="77777777" w:rsidR="00421AD8" w:rsidRDefault="0078111F" w:rsidP="0078111F">
      <w:r>
        <w:t>College Probation. As such, the number of sanctions is</w:t>
      </w:r>
      <w:r w:rsidR="0059362C">
        <w:t xml:space="preserve"> </w:t>
      </w:r>
      <w:r>
        <w:t>greater than the number of findings of responsibility.</w:t>
      </w:r>
    </w:p>
    <w:tbl>
      <w:tblPr>
        <w:tblpPr w:leftFromText="180" w:rightFromText="180" w:vertAnchor="text" w:tblpXSpec="right" w:tblpY="1"/>
        <w:tblOverlap w:val="never"/>
        <w:tblW w:w="4860" w:type="dxa"/>
        <w:jc w:val="right"/>
        <w:tblLook w:val="04A0" w:firstRow="1" w:lastRow="0" w:firstColumn="1" w:lastColumn="0" w:noHBand="0" w:noVBand="1"/>
      </w:tblPr>
      <w:tblGrid>
        <w:gridCol w:w="3420"/>
        <w:gridCol w:w="1440"/>
      </w:tblGrid>
      <w:tr w:rsidR="00421AD8" w:rsidRPr="00112F3E" w14:paraId="553BA780"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FFC000" w:fill="FFC000"/>
            <w:noWrap/>
            <w:vAlign w:val="bottom"/>
            <w:hideMark/>
          </w:tcPr>
          <w:p w14:paraId="68777515" w14:textId="77777777" w:rsidR="00421AD8" w:rsidRPr="00112F3E" w:rsidRDefault="00421AD8" w:rsidP="00421AD8">
            <w:pPr>
              <w:spacing w:after="0" w:line="240" w:lineRule="auto"/>
              <w:rPr>
                <w:rFonts w:ascii="Calibri" w:eastAsia="Times New Roman" w:hAnsi="Calibri" w:cs="Calibri"/>
                <w:b/>
                <w:bCs/>
                <w:color w:val="FFFFFF"/>
                <w:sz w:val="24"/>
                <w:szCs w:val="24"/>
              </w:rPr>
            </w:pPr>
            <w:bookmarkStart w:id="32" w:name="_Hlk111196504"/>
            <w:r w:rsidRPr="00112F3E">
              <w:rPr>
                <w:rFonts w:ascii="Calibri" w:eastAsia="Times New Roman" w:hAnsi="Calibri" w:cs="Calibri"/>
                <w:b/>
                <w:bCs/>
                <w:color w:val="FFFFFF"/>
                <w:sz w:val="24"/>
                <w:szCs w:val="24"/>
              </w:rPr>
              <w:t xml:space="preserve">AHP Cases by Allegation </w:t>
            </w:r>
          </w:p>
        </w:tc>
        <w:tc>
          <w:tcPr>
            <w:tcW w:w="1440" w:type="dxa"/>
            <w:tcBorders>
              <w:top w:val="single" w:sz="4" w:space="0" w:color="FFD966"/>
              <w:left w:val="nil"/>
              <w:bottom w:val="single" w:sz="4" w:space="0" w:color="FFD966"/>
              <w:right w:val="single" w:sz="4" w:space="0" w:color="FFD966"/>
            </w:tcBorders>
            <w:shd w:val="clear" w:color="FFC000" w:fill="FFC000"/>
            <w:noWrap/>
            <w:vAlign w:val="bottom"/>
            <w:hideMark/>
          </w:tcPr>
          <w:p w14:paraId="49D39659" w14:textId="77777777" w:rsidR="00421AD8" w:rsidRPr="00112F3E" w:rsidRDefault="00421AD8" w:rsidP="00421AD8">
            <w:pPr>
              <w:spacing w:after="0" w:line="240" w:lineRule="auto"/>
              <w:rPr>
                <w:rFonts w:ascii="Calibri" w:eastAsia="Times New Roman" w:hAnsi="Calibri" w:cs="Calibri"/>
                <w:b/>
                <w:bCs/>
                <w:color w:val="FFFFFF"/>
                <w:sz w:val="24"/>
                <w:szCs w:val="24"/>
              </w:rPr>
            </w:pPr>
            <w:r w:rsidRPr="00112F3E">
              <w:rPr>
                <w:rFonts w:ascii="Calibri" w:eastAsia="Times New Roman" w:hAnsi="Calibri" w:cs="Calibri"/>
                <w:b/>
                <w:bCs/>
                <w:color w:val="FFFFFF"/>
                <w:sz w:val="24"/>
                <w:szCs w:val="24"/>
              </w:rPr>
              <w:t>Frequency</w:t>
            </w:r>
          </w:p>
        </w:tc>
      </w:tr>
      <w:tr w:rsidR="00421AD8" w:rsidRPr="00112F3E" w14:paraId="1926206A"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6C95CB2A"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Cheating on exam/quiz </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499FF927"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8</w:t>
            </w:r>
          </w:p>
        </w:tc>
      </w:tr>
      <w:tr w:rsidR="00421AD8" w:rsidRPr="00112F3E" w14:paraId="3ECFFCCC"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66B654C7"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Unauthorized Collab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7BDF4110"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19</w:t>
            </w:r>
          </w:p>
        </w:tc>
      </w:tr>
      <w:tr w:rsidR="00421AD8" w:rsidRPr="00112F3E" w14:paraId="2D2669DA"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4C21ECDC"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Plagiarism </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4C888A17"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9</w:t>
            </w:r>
          </w:p>
        </w:tc>
      </w:tr>
      <w:tr w:rsidR="00421AD8" w:rsidRPr="00112F3E" w14:paraId="29F046D1"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35B78D56"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Cheating on homework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5DB5FE79"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3</w:t>
            </w:r>
          </w:p>
        </w:tc>
      </w:tr>
      <w:tr w:rsidR="00421AD8" w:rsidRPr="00112F3E" w14:paraId="0362E22D"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01D9981F"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Coding Assignment </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13AD88B9"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7</w:t>
            </w:r>
          </w:p>
        </w:tc>
      </w:tr>
      <w:tr w:rsidR="00421AD8" w:rsidRPr="00112F3E" w14:paraId="2D9A7BF3"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038B8EF9"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Lab Assignment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1BF8A9E5"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7</w:t>
            </w:r>
          </w:p>
        </w:tc>
      </w:tr>
      <w:tr w:rsidR="00421AD8" w:rsidRPr="00112F3E" w14:paraId="1D6C556B"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FFF2CC" w:fill="FFF2CC"/>
            <w:noWrap/>
            <w:vAlign w:val="bottom"/>
            <w:hideMark/>
          </w:tcPr>
          <w:p w14:paraId="1A91F73D"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Unauthorized Participation</w:t>
            </w:r>
          </w:p>
        </w:tc>
        <w:tc>
          <w:tcPr>
            <w:tcW w:w="1440" w:type="dxa"/>
            <w:tcBorders>
              <w:top w:val="single" w:sz="4" w:space="0" w:color="FFD966"/>
              <w:left w:val="nil"/>
              <w:bottom w:val="single" w:sz="4" w:space="0" w:color="FFD966"/>
              <w:right w:val="single" w:sz="4" w:space="0" w:color="FFD966"/>
            </w:tcBorders>
            <w:shd w:val="clear" w:color="FFF2CC" w:fill="FFF2CC"/>
            <w:noWrap/>
            <w:vAlign w:val="bottom"/>
            <w:hideMark/>
          </w:tcPr>
          <w:p w14:paraId="6CC6B074"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4</w:t>
            </w:r>
          </w:p>
        </w:tc>
      </w:tr>
      <w:tr w:rsidR="00421AD8" w:rsidRPr="00112F3E" w14:paraId="0F606FA3" w14:textId="77777777" w:rsidTr="00421AD8">
        <w:trPr>
          <w:trHeight w:val="320"/>
          <w:jc w:val="right"/>
        </w:trPr>
        <w:tc>
          <w:tcPr>
            <w:tcW w:w="3420" w:type="dxa"/>
            <w:tcBorders>
              <w:top w:val="single" w:sz="4" w:space="0" w:color="FFD966"/>
              <w:left w:val="single" w:sz="4" w:space="0" w:color="FFD966"/>
              <w:bottom w:val="single" w:sz="4" w:space="0" w:color="FFD966"/>
              <w:right w:val="nil"/>
            </w:tcBorders>
            <w:shd w:val="clear" w:color="auto" w:fill="auto"/>
            <w:noWrap/>
            <w:vAlign w:val="bottom"/>
            <w:hideMark/>
          </w:tcPr>
          <w:p w14:paraId="6015A656" w14:textId="77777777" w:rsidR="00421AD8" w:rsidRPr="00112F3E" w:rsidRDefault="00421AD8" w:rsidP="00421AD8">
            <w:pPr>
              <w:spacing w:after="0" w:line="240" w:lineRule="auto"/>
              <w:rPr>
                <w:rFonts w:ascii="Calibri" w:eastAsia="Times New Roman" w:hAnsi="Calibri" w:cs="Calibri"/>
                <w:color w:val="000000"/>
                <w:sz w:val="24"/>
                <w:szCs w:val="24"/>
              </w:rPr>
            </w:pPr>
            <w:r w:rsidRPr="00112F3E">
              <w:rPr>
                <w:rFonts w:ascii="Calibri" w:eastAsia="Times New Roman" w:hAnsi="Calibri" w:cs="Calibri"/>
                <w:color w:val="000000"/>
                <w:sz w:val="24"/>
                <w:szCs w:val="24"/>
              </w:rPr>
              <w:t xml:space="preserve">Misrepresentation of Attendance </w:t>
            </w:r>
          </w:p>
        </w:tc>
        <w:tc>
          <w:tcPr>
            <w:tcW w:w="1440" w:type="dxa"/>
            <w:tcBorders>
              <w:top w:val="single" w:sz="4" w:space="0" w:color="FFD966"/>
              <w:left w:val="nil"/>
              <w:bottom w:val="single" w:sz="4" w:space="0" w:color="FFD966"/>
              <w:right w:val="single" w:sz="4" w:space="0" w:color="FFD966"/>
            </w:tcBorders>
            <w:shd w:val="clear" w:color="auto" w:fill="auto"/>
            <w:noWrap/>
            <w:vAlign w:val="bottom"/>
            <w:hideMark/>
          </w:tcPr>
          <w:p w14:paraId="399B217C" w14:textId="77777777" w:rsidR="00421AD8" w:rsidRPr="00112F3E" w:rsidRDefault="00421AD8" w:rsidP="00421AD8">
            <w:pPr>
              <w:spacing w:after="0" w:line="240" w:lineRule="auto"/>
              <w:jc w:val="right"/>
              <w:rPr>
                <w:rFonts w:ascii="Calibri" w:eastAsia="Times New Roman" w:hAnsi="Calibri" w:cs="Calibri"/>
                <w:color w:val="000000"/>
                <w:sz w:val="24"/>
                <w:szCs w:val="24"/>
              </w:rPr>
            </w:pPr>
            <w:r w:rsidRPr="00112F3E">
              <w:rPr>
                <w:rFonts w:ascii="Calibri" w:eastAsia="Times New Roman" w:hAnsi="Calibri" w:cs="Calibri"/>
                <w:color w:val="000000"/>
                <w:sz w:val="24"/>
                <w:szCs w:val="24"/>
              </w:rPr>
              <w:t>4</w:t>
            </w:r>
          </w:p>
        </w:tc>
      </w:tr>
    </w:tbl>
    <w:bookmarkEnd w:id="32"/>
    <w:p w14:paraId="06C2BD77" w14:textId="490D7C1A" w:rsidR="00953BB7" w:rsidRDefault="0078111F" w:rsidP="0078111F">
      <w:r>
        <w:t xml:space="preserve">As specified in the Hard Alcohol Policy, </w:t>
      </w:r>
      <w:r w:rsidR="008D7B51">
        <w:t xml:space="preserve">the </w:t>
      </w:r>
      <w:r>
        <w:t>first incident of an organization serving hard alcohol will res</w:t>
      </w:r>
      <w:r w:rsidR="002F6FAB">
        <w:t>ult in</w:t>
      </w:r>
      <w:r w:rsidR="00C2465F">
        <w:t xml:space="preserve"> </w:t>
      </w:r>
      <w:r w:rsidR="002F6FAB">
        <w:t xml:space="preserve">one term of suspension. </w:t>
      </w:r>
    </w:p>
    <w:p w14:paraId="0BF94C6E" w14:textId="77777777" w:rsidR="006203B2" w:rsidRDefault="0078111F" w:rsidP="00480452">
      <w:r>
        <w:t xml:space="preserve">The </w:t>
      </w:r>
      <w:r w:rsidR="0004681F">
        <w:t>Office of Community Standards &amp; Accountability</w:t>
      </w:r>
      <w:r>
        <w:t xml:space="preserve"> shared organizational conduct histories with incoming Greek leadership</w:t>
      </w:r>
      <w:r w:rsidR="00404B91">
        <w:t xml:space="preserve"> </w:t>
      </w:r>
      <w:r w:rsidR="0059362C">
        <w:t>in the s</w:t>
      </w:r>
      <w:r w:rsidR="00880EFD">
        <w:t>pring of 20</w:t>
      </w:r>
      <w:r w:rsidR="0004681F">
        <w:t>20</w:t>
      </w:r>
      <w:r>
        <w:t xml:space="preserve">. </w:t>
      </w:r>
    </w:p>
    <w:p w14:paraId="73E3EE4A" w14:textId="77777777" w:rsidR="00F43C26" w:rsidRPr="009153B1" w:rsidRDefault="00F43C26" w:rsidP="00F43C26">
      <w:pPr>
        <w:pStyle w:val="Caption"/>
        <w:framePr w:w="646" w:h="211" w:hRule="exact" w:hSpace="180" w:wrap="around" w:vAnchor="text" w:hAnchor="page" w:x="5926" w:y="938"/>
        <w:rPr>
          <w:i w:val="0"/>
        </w:rPr>
      </w:pPr>
      <w:r w:rsidRPr="009153B1">
        <w:rPr>
          <w:i w:val="0"/>
        </w:rPr>
        <w:t xml:space="preserve">Figure </w:t>
      </w:r>
      <w:r>
        <w:rPr>
          <w:i w:val="0"/>
        </w:rPr>
        <w:t>5</w:t>
      </w:r>
      <w:r w:rsidRPr="009153B1">
        <w:rPr>
          <w:i w:val="0"/>
        </w:rPr>
        <w:t xml:space="preserve">                  </w:t>
      </w:r>
    </w:p>
    <w:p w14:paraId="2C0BA7B2" w14:textId="77777777" w:rsidR="00421AD8" w:rsidRDefault="0059362C" w:rsidP="00480452">
      <w:r>
        <w:t>Additionally, organization</w:t>
      </w:r>
      <w:r w:rsidR="00F411C0">
        <w:t>s</w:t>
      </w:r>
      <w:r>
        <w:t xml:space="preserve"> were </w:t>
      </w:r>
      <w:r w:rsidR="0078111F">
        <w:t xml:space="preserve">reminded </w:t>
      </w:r>
      <w:r>
        <w:t>they</w:t>
      </w:r>
      <w:r w:rsidR="0078111F">
        <w:t xml:space="preserve"> are responsible for what occurs within their physical plant. This includes signs or other stolen items found in an organization’s </w:t>
      </w:r>
    </w:p>
    <w:p w14:paraId="13916B71" w14:textId="325CC559" w:rsidR="0004681F" w:rsidRDefault="0078111F" w:rsidP="00480452">
      <w:r>
        <w:t>common areas. Greek leaders were encouraged to communicate to alumni that bringing hard alcohol or other banned items into a house puts the organization at risk of judicial sanctions even if the current students are not the source of the policy violation.</w:t>
      </w:r>
      <w:bookmarkStart w:id="33" w:name="_Toc465167560"/>
    </w:p>
    <w:p w14:paraId="64E901BC" w14:textId="77777777" w:rsidR="003D79B8" w:rsidRDefault="003D79B8" w:rsidP="0078111F">
      <w:pPr>
        <w:pStyle w:val="Heading1"/>
      </w:pPr>
      <w:bookmarkStart w:id="34" w:name="_Toc51083192"/>
    </w:p>
    <w:p w14:paraId="13F5C007" w14:textId="77777777" w:rsidR="003D79B8" w:rsidRDefault="003D79B8" w:rsidP="003D79B8"/>
    <w:p w14:paraId="577BEC3E" w14:textId="77777777" w:rsidR="003D79B8" w:rsidRDefault="003D79B8" w:rsidP="003D79B8"/>
    <w:p w14:paraId="7D50DE17" w14:textId="77777777" w:rsidR="003D79B8" w:rsidRDefault="003D79B8" w:rsidP="003D79B8"/>
    <w:p w14:paraId="1C8B6AC4" w14:textId="77777777" w:rsidR="003D79B8" w:rsidRPr="003D79B8" w:rsidRDefault="003D79B8" w:rsidP="003D79B8"/>
    <w:p w14:paraId="689C17BB" w14:textId="01A653C9" w:rsidR="0078111F" w:rsidRDefault="0078111F" w:rsidP="0078111F">
      <w:pPr>
        <w:pStyle w:val="Heading1"/>
      </w:pPr>
      <w:r>
        <w:lastRenderedPageBreak/>
        <w:t>Administrative Hearings and Educational Referrals</w:t>
      </w:r>
      <w:bookmarkEnd w:id="33"/>
      <w:bookmarkEnd w:id="34"/>
    </w:p>
    <w:tbl>
      <w:tblPr>
        <w:tblpPr w:leftFromText="180" w:rightFromText="180" w:vertAnchor="text" w:horzAnchor="margin" w:tblpY="675"/>
        <w:tblOverlap w:val="never"/>
        <w:tblW w:w="4850" w:type="dxa"/>
        <w:tblLook w:val="04A0" w:firstRow="1" w:lastRow="0" w:firstColumn="1" w:lastColumn="0" w:noHBand="0" w:noVBand="1"/>
      </w:tblPr>
      <w:tblGrid>
        <w:gridCol w:w="3410"/>
        <w:gridCol w:w="1440"/>
      </w:tblGrid>
      <w:tr w:rsidR="001D25D5" w:rsidRPr="00F51913" w14:paraId="0C3DC269" w14:textId="77777777" w:rsidTr="001D25D5">
        <w:trPr>
          <w:trHeight w:val="900"/>
        </w:trPr>
        <w:tc>
          <w:tcPr>
            <w:tcW w:w="4850" w:type="dxa"/>
            <w:gridSpan w:val="2"/>
            <w:tcBorders>
              <w:top w:val="single" w:sz="8" w:space="0" w:color="auto"/>
              <w:left w:val="single" w:sz="8" w:space="0" w:color="auto"/>
              <w:bottom w:val="nil"/>
              <w:right w:val="single" w:sz="8" w:space="0" w:color="000000"/>
            </w:tcBorders>
            <w:shd w:val="clear" w:color="000000" w:fill="FEE69B"/>
            <w:vAlign w:val="center"/>
            <w:hideMark/>
          </w:tcPr>
          <w:p w14:paraId="0EE1EC95" w14:textId="77777777" w:rsidR="001D25D5" w:rsidRPr="00F51913" w:rsidRDefault="001D25D5" w:rsidP="001D25D5">
            <w:pPr>
              <w:spacing w:after="0" w:line="240" w:lineRule="auto"/>
              <w:jc w:val="center"/>
              <w:rPr>
                <w:rFonts w:ascii="Calibri" w:eastAsia="Times New Roman" w:hAnsi="Calibri" w:cs="Calibri"/>
                <w:b/>
                <w:bCs/>
                <w:color w:val="000000"/>
              </w:rPr>
            </w:pPr>
            <w:r w:rsidRPr="00F51913">
              <w:rPr>
                <w:rFonts w:ascii="Calibri" w:eastAsia="Times New Roman" w:hAnsi="Calibri" w:cs="Calibri"/>
                <w:b/>
                <w:bCs/>
                <w:color w:val="000000"/>
              </w:rPr>
              <w:t>Administrative Hearings &amp; Educational Resolutions: Number of Allegations</w:t>
            </w:r>
          </w:p>
        </w:tc>
      </w:tr>
      <w:tr w:rsidR="001D25D5" w:rsidRPr="00F51913" w14:paraId="1C2F2263" w14:textId="77777777" w:rsidTr="001D25D5">
        <w:trPr>
          <w:trHeight w:val="320"/>
        </w:trPr>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7E50D"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Alcohol Policy</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EFAF253"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168 (67%)</w:t>
            </w:r>
          </w:p>
        </w:tc>
      </w:tr>
      <w:tr w:rsidR="001D25D5" w:rsidRPr="00F51913" w14:paraId="7F040FE8"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5746E756"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 xml:space="preserve">        Hard Alcohol Policy</w:t>
            </w:r>
          </w:p>
        </w:tc>
        <w:tc>
          <w:tcPr>
            <w:tcW w:w="1440" w:type="dxa"/>
            <w:tcBorders>
              <w:top w:val="nil"/>
              <w:left w:val="nil"/>
              <w:bottom w:val="single" w:sz="4" w:space="0" w:color="auto"/>
              <w:right w:val="single" w:sz="4" w:space="0" w:color="auto"/>
            </w:tcBorders>
            <w:shd w:val="clear" w:color="auto" w:fill="auto"/>
            <w:vAlign w:val="center"/>
            <w:hideMark/>
          </w:tcPr>
          <w:p w14:paraId="5625B0FF"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4</w:t>
            </w:r>
          </w:p>
        </w:tc>
      </w:tr>
      <w:tr w:rsidR="001D25D5" w:rsidRPr="00F51913" w14:paraId="359717C1"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59E33F5A"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Disorderly Conduct</w:t>
            </w:r>
          </w:p>
        </w:tc>
        <w:tc>
          <w:tcPr>
            <w:tcW w:w="1440" w:type="dxa"/>
            <w:tcBorders>
              <w:top w:val="nil"/>
              <w:left w:val="nil"/>
              <w:bottom w:val="single" w:sz="4" w:space="0" w:color="auto"/>
              <w:right w:val="single" w:sz="4" w:space="0" w:color="auto"/>
            </w:tcBorders>
            <w:shd w:val="clear" w:color="auto" w:fill="auto"/>
            <w:vAlign w:val="center"/>
            <w:hideMark/>
          </w:tcPr>
          <w:p w14:paraId="7E023423"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38 (15%)</w:t>
            </w:r>
          </w:p>
        </w:tc>
      </w:tr>
      <w:tr w:rsidR="001D25D5" w:rsidRPr="00F51913" w14:paraId="323BA7C3"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0771677"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Fire Safety &amp; Smoking Policies</w:t>
            </w:r>
          </w:p>
        </w:tc>
        <w:tc>
          <w:tcPr>
            <w:tcW w:w="1440" w:type="dxa"/>
            <w:tcBorders>
              <w:top w:val="nil"/>
              <w:left w:val="nil"/>
              <w:bottom w:val="single" w:sz="4" w:space="0" w:color="auto"/>
              <w:right w:val="single" w:sz="4" w:space="0" w:color="auto"/>
            </w:tcBorders>
            <w:shd w:val="clear" w:color="auto" w:fill="auto"/>
            <w:vAlign w:val="center"/>
            <w:hideMark/>
          </w:tcPr>
          <w:p w14:paraId="73A5946A"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20 (8%)</w:t>
            </w:r>
          </w:p>
        </w:tc>
      </w:tr>
      <w:tr w:rsidR="001D25D5" w:rsidRPr="00F51913" w14:paraId="4E662D0C"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359FAF98"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Drug Policy</w:t>
            </w:r>
          </w:p>
        </w:tc>
        <w:tc>
          <w:tcPr>
            <w:tcW w:w="1440" w:type="dxa"/>
            <w:tcBorders>
              <w:top w:val="nil"/>
              <w:left w:val="nil"/>
              <w:bottom w:val="single" w:sz="4" w:space="0" w:color="auto"/>
              <w:right w:val="single" w:sz="4" w:space="0" w:color="auto"/>
            </w:tcBorders>
            <w:shd w:val="clear" w:color="auto" w:fill="auto"/>
            <w:vAlign w:val="center"/>
            <w:hideMark/>
          </w:tcPr>
          <w:p w14:paraId="4A202632"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29 (12%)</w:t>
            </w:r>
          </w:p>
        </w:tc>
      </w:tr>
      <w:tr w:rsidR="001D25D5" w:rsidRPr="00F51913" w14:paraId="40B534AE"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40DAF9E1"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 xml:space="preserve">     Good Sam for Drug Use</w:t>
            </w:r>
          </w:p>
        </w:tc>
        <w:tc>
          <w:tcPr>
            <w:tcW w:w="1440" w:type="dxa"/>
            <w:tcBorders>
              <w:top w:val="nil"/>
              <w:left w:val="nil"/>
              <w:bottom w:val="single" w:sz="4" w:space="0" w:color="auto"/>
              <w:right w:val="single" w:sz="4" w:space="0" w:color="auto"/>
            </w:tcBorders>
            <w:shd w:val="clear" w:color="auto" w:fill="auto"/>
            <w:vAlign w:val="center"/>
            <w:hideMark/>
          </w:tcPr>
          <w:p w14:paraId="2BB10262"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4</w:t>
            </w:r>
          </w:p>
        </w:tc>
      </w:tr>
      <w:tr w:rsidR="001D25D5" w:rsidRPr="00F51913" w14:paraId="0ED11CDE"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2B2D134"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Fire Safety Policy + Smoking Policy</w:t>
            </w:r>
          </w:p>
        </w:tc>
        <w:tc>
          <w:tcPr>
            <w:tcW w:w="1440" w:type="dxa"/>
            <w:tcBorders>
              <w:top w:val="nil"/>
              <w:left w:val="nil"/>
              <w:bottom w:val="single" w:sz="4" w:space="0" w:color="auto"/>
              <w:right w:val="single" w:sz="4" w:space="0" w:color="auto"/>
            </w:tcBorders>
            <w:shd w:val="clear" w:color="auto" w:fill="auto"/>
            <w:vAlign w:val="center"/>
            <w:hideMark/>
          </w:tcPr>
          <w:p w14:paraId="21107123"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21 (8%)</w:t>
            </w:r>
          </w:p>
        </w:tc>
      </w:tr>
      <w:tr w:rsidR="001D25D5" w:rsidRPr="00F51913" w14:paraId="61808C49"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74D3044"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Unauthorized Entry</w:t>
            </w:r>
          </w:p>
        </w:tc>
        <w:tc>
          <w:tcPr>
            <w:tcW w:w="1440" w:type="dxa"/>
            <w:tcBorders>
              <w:top w:val="nil"/>
              <w:left w:val="nil"/>
              <w:bottom w:val="single" w:sz="4" w:space="0" w:color="auto"/>
              <w:right w:val="single" w:sz="4" w:space="0" w:color="auto"/>
            </w:tcBorders>
            <w:shd w:val="clear" w:color="auto" w:fill="auto"/>
            <w:vAlign w:val="center"/>
            <w:hideMark/>
          </w:tcPr>
          <w:p w14:paraId="37415C59"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18 (8%)</w:t>
            </w:r>
          </w:p>
        </w:tc>
      </w:tr>
      <w:tr w:rsidR="001D25D5" w:rsidRPr="00F51913" w14:paraId="44C43D79"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1B92B113"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Swim Policy</w:t>
            </w:r>
          </w:p>
        </w:tc>
        <w:tc>
          <w:tcPr>
            <w:tcW w:w="1440" w:type="dxa"/>
            <w:tcBorders>
              <w:top w:val="nil"/>
              <w:left w:val="nil"/>
              <w:bottom w:val="single" w:sz="4" w:space="0" w:color="auto"/>
              <w:right w:val="single" w:sz="4" w:space="0" w:color="auto"/>
            </w:tcBorders>
            <w:shd w:val="clear" w:color="auto" w:fill="auto"/>
            <w:vAlign w:val="center"/>
            <w:hideMark/>
          </w:tcPr>
          <w:p w14:paraId="659FF699"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22 (9%)</w:t>
            </w:r>
          </w:p>
        </w:tc>
      </w:tr>
      <w:tr w:rsidR="001D25D5" w:rsidRPr="00F51913" w14:paraId="75F2E7CB"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37772865"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Fake ID</w:t>
            </w:r>
          </w:p>
        </w:tc>
        <w:tc>
          <w:tcPr>
            <w:tcW w:w="1440" w:type="dxa"/>
            <w:tcBorders>
              <w:top w:val="nil"/>
              <w:left w:val="nil"/>
              <w:bottom w:val="single" w:sz="4" w:space="0" w:color="auto"/>
              <w:right w:val="single" w:sz="4" w:space="0" w:color="auto"/>
            </w:tcBorders>
            <w:shd w:val="clear" w:color="auto" w:fill="auto"/>
            <w:vAlign w:val="center"/>
            <w:hideMark/>
          </w:tcPr>
          <w:p w14:paraId="71557192"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3 (1%)</w:t>
            </w:r>
          </w:p>
        </w:tc>
      </w:tr>
      <w:tr w:rsidR="001D25D5" w:rsidRPr="00F51913" w14:paraId="05CCAB24"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2B35D65"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Failure to Comply</w:t>
            </w:r>
          </w:p>
        </w:tc>
        <w:tc>
          <w:tcPr>
            <w:tcW w:w="1440" w:type="dxa"/>
            <w:tcBorders>
              <w:top w:val="nil"/>
              <w:left w:val="nil"/>
              <w:bottom w:val="single" w:sz="4" w:space="0" w:color="auto"/>
              <w:right w:val="single" w:sz="4" w:space="0" w:color="auto"/>
            </w:tcBorders>
            <w:shd w:val="clear" w:color="auto" w:fill="auto"/>
            <w:vAlign w:val="center"/>
            <w:hideMark/>
          </w:tcPr>
          <w:p w14:paraId="3612AEE7"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9 (4%)</w:t>
            </w:r>
          </w:p>
        </w:tc>
      </w:tr>
      <w:tr w:rsidR="001D25D5" w:rsidRPr="00F51913" w14:paraId="74D435B9"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17CE38AE"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Misrepresentation</w:t>
            </w:r>
          </w:p>
        </w:tc>
        <w:tc>
          <w:tcPr>
            <w:tcW w:w="1440" w:type="dxa"/>
            <w:tcBorders>
              <w:top w:val="nil"/>
              <w:left w:val="nil"/>
              <w:bottom w:val="single" w:sz="4" w:space="0" w:color="auto"/>
              <w:right w:val="single" w:sz="4" w:space="0" w:color="auto"/>
            </w:tcBorders>
            <w:shd w:val="clear" w:color="auto" w:fill="auto"/>
            <w:vAlign w:val="center"/>
            <w:hideMark/>
          </w:tcPr>
          <w:p w14:paraId="5D613251"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5 (2%)</w:t>
            </w:r>
          </w:p>
        </w:tc>
      </w:tr>
      <w:tr w:rsidR="001D25D5" w:rsidRPr="00F51913" w14:paraId="669676EE"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C1DF46B"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Misappropriation/Damage</w:t>
            </w:r>
          </w:p>
        </w:tc>
        <w:tc>
          <w:tcPr>
            <w:tcW w:w="1440" w:type="dxa"/>
            <w:tcBorders>
              <w:top w:val="nil"/>
              <w:left w:val="nil"/>
              <w:bottom w:val="single" w:sz="4" w:space="0" w:color="auto"/>
              <w:right w:val="single" w:sz="4" w:space="0" w:color="auto"/>
            </w:tcBorders>
            <w:shd w:val="clear" w:color="auto" w:fill="auto"/>
            <w:vAlign w:val="center"/>
            <w:hideMark/>
          </w:tcPr>
          <w:p w14:paraId="74366A3C"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21 (8%)</w:t>
            </w:r>
          </w:p>
        </w:tc>
      </w:tr>
      <w:tr w:rsidR="001D25D5" w:rsidRPr="00F51913" w14:paraId="3898A6D9"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355D8179"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Guest and Visitors Policy</w:t>
            </w:r>
          </w:p>
        </w:tc>
        <w:tc>
          <w:tcPr>
            <w:tcW w:w="1440" w:type="dxa"/>
            <w:tcBorders>
              <w:top w:val="nil"/>
              <w:left w:val="nil"/>
              <w:bottom w:val="single" w:sz="4" w:space="0" w:color="auto"/>
              <w:right w:val="single" w:sz="4" w:space="0" w:color="auto"/>
            </w:tcBorders>
            <w:shd w:val="clear" w:color="auto" w:fill="auto"/>
            <w:vAlign w:val="center"/>
            <w:hideMark/>
          </w:tcPr>
          <w:p w14:paraId="5F3CBFD8"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16 (6%)</w:t>
            </w:r>
          </w:p>
        </w:tc>
      </w:tr>
      <w:tr w:rsidR="001D25D5" w:rsidRPr="00F51913" w14:paraId="5C833B5E"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5345A374"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Other College Policies</w:t>
            </w:r>
          </w:p>
        </w:tc>
        <w:tc>
          <w:tcPr>
            <w:tcW w:w="1440" w:type="dxa"/>
            <w:tcBorders>
              <w:top w:val="nil"/>
              <w:left w:val="nil"/>
              <w:bottom w:val="single" w:sz="4" w:space="0" w:color="auto"/>
              <w:right w:val="single" w:sz="4" w:space="0" w:color="auto"/>
            </w:tcBorders>
            <w:shd w:val="clear" w:color="auto" w:fill="auto"/>
            <w:vAlign w:val="center"/>
            <w:hideMark/>
          </w:tcPr>
          <w:p w14:paraId="319C8411"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8 (3%)</w:t>
            </w:r>
          </w:p>
        </w:tc>
      </w:tr>
      <w:tr w:rsidR="001D25D5" w:rsidRPr="00F51913" w14:paraId="5F70FABF"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31897205"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Residential Education Policies</w:t>
            </w:r>
          </w:p>
        </w:tc>
        <w:tc>
          <w:tcPr>
            <w:tcW w:w="1440" w:type="dxa"/>
            <w:tcBorders>
              <w:top w:val="nil"/>
              <w:left w:val="nil"/>
              <w:bottom w:val="single" w:sz="4" w:space="0" w:color="auto"/>
              <w:right w:val="single" w:sz="4" w:space="0" w:color="auto"/>
            </w:tcBorders>
            <w:shd w:val="clear" w:color="auto" w:fill="auto"/>
            <w:vAlign w:val="center"/>
            <w:hideMark/>
          </w:tcPr>
          <w:p w14:paraId="00E800BD"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5 (2%)</w:t>
            </w:r>
          </w:p>
        </w:tc>
      </w:tr>
      <w:tr w:rsidR="001D25D5" w:rsidRPr="00F51913" w14:paraId="3F6EDFAD"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0C50520D"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 xml:space="preserve">Health &amp; Safety </w:t>
            </w:r>
          </w:p>
        </w:tc>
        <w:tc>
          <w:tcPr>
            <w:tcW w:w="1440" w:type="dxa"/>
            <w:tcBorders>
              <w:top w:val="nil"/>
              <w:left w:val="nil"/>
              <w:bottom w:val="single" w:sz="4" w:space="0" w:color="auto"/>
              <w:right w:val="single" w:sz="4" w:space="0" w:color="auto"/>
            </w:tcBorders>
            <w:shd w:val="clear" w:color="auto" w:fill="auto"/>
            <w:noWrap/>
            <w:vAlign w:val="bottom"/>
            <w:hideMark/>
          </w:tcPr>
          <w:p w14:paraId="00686171"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 (1%)</w:t>
            </w:r>
          </w:p>
        </w:tc>
      </w:tr>
      <w:tr w:rsidR="001D25D5" w:rsidRPr="00F51913" w14:paraId="4AFE98D0"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1B87CF76"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Weapons</w:t>
            </w:r>
          </w:p>
        </w:tc>
        <w:tc>
          <w:tcPr>
            <w:tcW w:w="1440" w:type="dxa"/>
            <w:tcBorders>
              <w:top w:val="nil"/>
              <w:left w:val="nil"/>
              <w:bottom w:val="single" w:sz="4" w:space="0" w:color="auto"/>
              <w:right w:val="single" w:sz="4" w:space="0" w:color="auto"/>
            </w:tcBorders>
            <w:shd w:val="clear" w:color="auto" w:fill="auto"/>
            <w:noWrap/>
            <w:vAlign w:val="bottom"/>
            <w:hideMark/>
          </w:tcPr>
          <w:p w14:paraId="442E9B0A"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3 (1%)</w:t>
            </w:r>
          </w:p>
        </w:tc>
      </w:tr>
      <w:tr w:rsidR="001D25D5" w:rsidRPr="00F51913" w14:paraId="17329397" w14:textId="77777777" w:rsidTr="001D25D5">
        <w:trPr>
          <w:trHeight w:val="320"/>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243936A9" w14:textId="77777777" w:rsidR="001D25D5" w:rsidRPr="00F43C26" w:rsidRDefault="001D25D5" w:rsidP="001D25D5">
            <w:pPr>
              <w:spacing w:after="0" w:line="240" w:lineRule="auto"/>
              <w:rPr>
                <w:rFonts w:ascii="Calibri" w:eastAsia="Times New Roman" w:hAnsi="Calibri" w:cs="Calibri"/>
                <w:color w:val="000000"/>
              </w:rPr>
            </w:pPr>
            <w:r w:rsidRPr="00F43C26">
              <w:rPr>
                <w:rFonts w:ascii="Calibri" w:eastAsia="Times New Roman" w:hAnsi="Calibri" w:cs="Calibri"/>
                <w:color w:val="000000"/>
              </w:rPr>
              <w:t xml:space="preserve">Game Table </w:t>
            </w:r>
          </w:p>
        </w:tc>
        <w:tc>
          <w:tcPr>
            <w:tcW w:w="1440" w:type="dxa"/>
            <w:tcBorders>
              <w:top w:val="nil"/>
              <w:left w:val="nil"/>
              <w:bottom w:val="single" w:sz="4" w:space="0" w:color="auto"/>
              <w:right w:val="single" w:sz="4" w:space="0" w:color="auto"/>
            </w:tcBorders>
            <w:shd w:val="clear" w:color="auto" w:fill="auto"/>
            <w:noWrap/>
            <w:vAlign w:val="bottom"/>
            <w:hideMark/>
          </w:tcPr>
          <w:p w14:paraId="41F2B5BB" w14:textId="77777777" w:rsidR="001D25D5" w:rsidRPr="00F43C26" w:rsidRDefault="001D25D5" w:rsidP="001D25D5">
            <w:pPr>
              <w:spacing w:after="0" w:line="240" w:lineRule="auto"/>
              <w:jc w:val="right"/>
              <w:rPr>
                <w:rFonts w:ascii="Calibri" w:eastAsia="Times New Roman" w:hAnsi="Calibri" w:cs="Calibri"/>
                <w:color w:val="000000"/>
              </w:rPr>
            </w:pPr>
            <w:r w:rsidRPr="00F43C26">
              <w:rPr>
                <w:rFonts w:ascii="Calibri" w:eastAsia="Times New Roman" w:hAnsi="Calibri" w:cs="Calibri"/>
                <w:color w:val="000000"/>
              </w:rPr>
              <w:t>2 (1%)</w:t>
            </w:r>
          </w:p>
        </w:tc>
      </w:tr>
    </w:tbl>
    <w:p w14:paraId="17AA4846" w14:textId="77777777" w:rsidR="006203B2" w:rsidRDefault="006203B2" w:rsidP="006203B2">
      <w:r>
        <w:t xml:space="preserve">Violations of the </w:t>
      </w:r>
      <w:r>
        <w:rPr>
          <w:i/>
        </w:rPr>
        <w:t xml:space="preserve">Standards of Conduct </w:t>
      </w:r>
      <w:r>
        <w:t>which do not reach the threshold for a suspension-level hearing are resolved through an administrative hearing. Administrative hearings are conducted by designated Hearing Officers which include Community Standards &amp; Accountability staff and Assistant Directors from Residential Education. Assistant Directors primarily hear cases involving conduct that occurred within residence halls.</w:t>
      </w:r>
    </w:p>
    <w:p w14:paraId="2C04CD53" w14:textId="16F0AD14" w:rsidR="00421AD8" w:rsidRDefault="006203B2" w:rsidP="006203B2">
      <w:r>
        <w:t>If a Good Samaritan call is placed for a student, the student is expected to complete the Brief Alcohol Screening and Intervention for College Students (BASICS) and does not receive any conduct sanctions if other College policies were not also violated. Students who violate the alcohol policy for the first time are also given the same opportunity.</w:t>
      </w:r>
    </w:p>
    <w:p w14:paraId="6AAFEA42" w14:textId="2FB068DE" w:rsidR="006203B2" w:rsidRDefault="006203B2" w:rsidP="006203B2">
      <w:r>
        <w:t xml:space="preserve">Alleged violations of the alcohol policy </w:t>
      </w:r>
      <w:r w:rsidRPr="00873688">
        <w:t xml:space="preserve">made up </w:t>
      </w:r>
      <w:r>
        <w:t>67</w:t>
      </w:r>
      <w:r w:rsidRPr="00873688">
        <w:t xml:space="preserve">% of </w:t>
      </w:r>
      <w:r>
        <w:t>administrative hearings. Any student found to have violated the Alcohol and Other Drug Policy is</w:t>
      </w:r>
      <w:r w:rsidRPr="00873688">
        <w:t xml:space="preserve"> required to complete BASICS as part of their sanction. </w:t>
      </w:r>
    </w:p>
    <w:p w14:paraId="39183B57" w14:textId="77777777" w:rsidR="001B7738" w:rsidRDefault="006203B2" w:rsidP="006203B2">
      <w:r>
        <w:t xml:space="preserve">In total, there were 251 administrative-level conduct cases this academic year. The allegations </w:t>
      </w:r>
    </w:p>
    <w:p w14:paraId="6E982993" w14:textId="77777777" w:rsidR="001D25D5" w:rsidRPr="009153B1" w:rsidRDefault="001D25D5" w:rsidP="001D25D5">
      <w:pPr>
        <w:pStyle w:val="Caption"/>
        <w:framePr w:w="646" w:h="271" w:hRule="exact" w:hSpace="180" w:wrap="around" w:vAnchor="text" w:hAnchor="page" w:x="1396" w:y="584"/>
        <w:rPr>
          <w:i w:val="0"/>
        </w:rPr>
      </w:pPr>
      <w:r w:rsidRPr="009153B1">
        <w:rPr>
          <w:i w:val="0"/>
        </w:rPr>
        <w:t xml:space="preserve">Figure </w:t>
      </w:r>
      <w:r>
        <w:rPr>
          <w:i w:val="0"/>
        </w:rPr>
        <w:t>6</w:t>
      </w:r>
      <w:r w:rsidRPr="009153B1">
        <w:rPr>
          <w:i w:val="0"/>
        </w:rPr>
        <w:t xml:space="preserve">                  </w:t>
      </w:r>
    </w:p>
    <w:p w14:paraId="79BACD00" w14:textId="50ADDD86" w:rsidR="006203B2" w:rsidRDefault="006203B2" w:rsidP="006203B2">
      <w:r>
        <w:t xml:space="preserve">used most frequently are shown in Figure 6. “Other College Policies” include some Residential Education Policies (such as room care policies). </w:t>
      </w:r>
    </w:p>
    <w:p w14:paraId="0E576FD7" w14:textId="77777777" w:rsidR="006203B2" w:rsidRDefault="006203B2" w:rsidP="006203B2">
      <w:r w:rsidRPr="00AA4792">
        <w:t>Students may receive more than one allegation in each case. Therefore, the total number of allegations is greater than the number of cases. The percentages</w:t>
      </w:r>
      <w:r>
        <w:t xml:space="preserve"> are rounded and</w:t>
      </w:r>
      <w:r w:rsidRPr="00AA4792">
        <w:t xml:space="preserve"> reflect the percentage</w:t>
      </w:r>
      <w:r>
        <w:t xml:space="preserve"> of</w:t>
      </w:r>
      <w:r w:rsidRPr="00AA4792">
        <w:t xml:space="preserve"> total </w:t>
      </w:r>
      <w:r>
        <w:t>allegations across all categories</w:t>
      </w:r>
      <w:r w:rsidRPr="00AA4792">
        <w:t>.</w:t>
      </w:r>
    </w:p>
    <w:p w14:paraId="4B6A41E1" w14:textId="77777777" w:rsidR="006203B2" w:rsidRPr="009153B1" w:rsidRDefault="006203B2" w:rsidP="006203B2">
      <w:r>
        <w:t>The number of cases at this level was lower during the 2019-2020 academic year than the previous year (from 459 to 251</w:t>
      </w:r>
      <w:r w:rsidRPr="00E8567E">
        <w:t>).</w:t>
      </w:r>
      <w:r>
        <w:t xml:space="preserve"> This difference is mainly accounted for by the impact of the College’s response to the global COVID-19 pandemic. As of March 2020, courses were held remotely and most the students returned home or left campus for the spring term 2020. </w:t>
      </w:r>
    </w:p>
    <w:p w14:paraId="466E261C" w14:textId="77777777" w:rsidR="006203B2" w:rsidRDefault="006203B2" w:rsidP="006203B2">
      <w:r w:rsidRPr="009153B1">
        <w:t xml:space="preserve">First-year students typically make up a large percentage of administrative cases and </w:t>
      </w:r>
      <w:r>
        <w:t>this year it was slightly less</w:t>
      </w:r>
      <w:r w:rsidRPr="009153B1">
        <w:t xml:space="preserve"> </w:t>
      </w:r>
      <w:r>
        <w:t>with 91</w:t>
      </w:r>
      <w:r w:rsidRPr="009153B1">
        <w:t xml:space="preserve"> cases</w:t>
      </w:r>
      <w:r>
        <w:t xml:space="preserve"> (36% of all cases)</w:t>
      </w:r>
      <w:r w:rsidRPr="009153B1">
        <w:t>.</w:t>
      </w:r>
    </w:p>
    <w:p w14:paraId="4F967870" w14:textId="26848E82" w:rsidR="00C66575" w:rsidRDefault="006203B2" w:rsidP="001B7738">
      <w:r>
        <w:t xml:space="preserve">Sanctions for administrative hearings range from a College Warning to College Probation. Educational only outcomes are largely referrals to BASICS for non-conduct alcohol violations (Good Samaritan calls </w:t>
      </w:r>
      <w:r>
        <w:lastRenderedPageBreak/>
        <w:t>and first-time alcohol violations without any other policy violations, 39% combined, 97 cases). The outcomes for these hearings are shown in Figure 7.</w:t>
      </w:r>
      <w:r w:rsidR="00C66575" w:rsidRPr="009153B1">
        <w:t xml:space="preserve"> </w:t>
      </w:r>
    </w:p>
    <w:p w14:paraId="4424660F" w14:textId="7E3BD8E5" w:rsidR="00802EBE" w:rsidRDefault="00C66575" w:rsidP="0078111F">
      <w:pPr>
        <w:rPr>
          <w:noProof/>
        </w:rPr>
      </w:pPr>
      <w:r>
        <w:rPr>
          <w:noProof/>
        </w:rPr>
        <w:drawing>
          <wp:inline distT="0" distB="0" distL="0" distR="0" wp14:anchorId="58FCD156" wp14:editId="49217104">
            <wp:extent cx="5553075" cy="3000375"/>
            <wp:effectExtent l="0" t="0" r="9525" b="9525"/>
            <wp:docPr id="3" name="Chart 3">
              <a:extLst xmlns:a="http://schemas.openxmlformats.org/drawingml/2006/main">
                <a:ext uri="{FF2B5EF4-FFF2-40B4-BE49-F238E27FC236}">
                  <a16:creationId xmlns:a16="http://schemas.microsoft.com/office/drawing/2014/main" id="{6FB1BE82-478E-BD16-0BBE-B4F3B3FCD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A114E" w14:textId="77777777" w:rsidR="00566A22" w:rsidRPr="009153B1" w:rsidRDefault="00566A22" w:rsidP="00566A22">
      <w:pPr>
        <w:pStyle w:val="Caption"/>
        <w:framePr w:w="646" w:h="271" w:hRule="exact" w:hSpace="180" w:wrap="around" w:vAnchor="text" w:hAnchor="page" w:x="1441" w:y="-180"/>
        <w:rPr>
          <w:i w:val="0"/>
        </w:rPr>
      </w:pPr>
      <w:r w:rsidRPr="009153B1">
        <w:rPr>
          <w:i w:val="0"/>
        </w:rPr>
        <w:t xml:space="preserve">Figure </w:t>
      </w:r>
      <w:r>
        <w:rPr>
          <w:i w:val="0"/>
        </w:rPr>
        <w:t>7</w:t>
      </w:r>
      <w:r w:rsidRPr="009153B1">
        <w:rPr>
          <w:i w:val="0"/>
        </w:rPr>
        <w:t xml:space="preserve">                  </w:t>
      </w:r>
    </w:p>
    <w:p w14:paraId="11398BC2" w14:textId="7574A13E" w:rsidR="00802EBE" w:rsidRDefault="00802EBE" w:rsidP="0078111F">
      <w:pPr>
        <w:rPr>
          <w:noProof/>
        </w:rPr>
      </w:pPr>
    </w:p>
    <w:p w14:paraId="674C1743" w14:textId="3493E65D" w:rsidR="00476035" w:rsidRPr="00D96D75" w:rsidRDefault="0078111F" w:rsidP="00476035">
      <w:pPr>
        <w:pStyle w:val="Heading1"/>
      </w:pPr>
      <w:bookmarkStart w:id="35" w:name="_Toc465167563"/>
      <w:bookmarkStart w:id="36" w:name="_Toc51083193"/>
      <w:r w:rsidRPr="00D96D75">
        <w:t>Acknowledgement</w:t>
      </w:r>
      <w:bookmarkEnd w:id="35"/>
      <w:bookmarkEnd w:id="36"/>
    </w:p>
    <w:p w14:paraId="6D25526F" w14:textId="45FBC8D7" w:rsidR="0078111F" w:rsidRPr="00652DB2" w:rsidRDefault="0078111F" w:rsidP="0078111F">
      <w:r w:rsidRPr="00D96D75">
        <w:t xml:space="preserve">Members of the </w:t>
      </w:r>
      <w:r w:rsidR="00F57232" w:rsidRPr="00D96D75">
        <w:t>Committee</w:t>
      </w:r>
      <w:r w:rsidR="00AB27F6">
        <w:t xml:space="preserve"> on Standards</w:t>
      </w:r>
      <w:r w:rsidR="00F57232" w:rsidRPr="00D96D75">
        <w:t xml:space="preserve"> are</w:t>
      </w:r>
      <w:r w:rsidRPr="00D96D75">
        <w:t xml:space="preserve"> Dartmouth students, faculty, and staff who represent our community by election or appointment. </w:t>
      </w:r>
      <w:r w:rsidR="00A6487A" w:rsidRPr="00D96D75">
        <w:t>We</w:t>
      </w:r>
      <w:r w:rsidRPr="00D96D75">
        <w:t xml:space="preserve"> wish to thank our graduating seniors and faculty whos</w:t>
      </w:r>
      <w:r w:rsidR="00F57232">
        <w:t>e terms of service are complete</w:t>
      </w:r>
      <w:r w:rsidR="00D96D75" w:rsidRPr="00D96D75">
        <w:rPr>
          <w:rFonts w:eastAsia="Times New Roman" w:cs="Times New Roman"/>
        </w:rPr>
        <w:t>.</w:t>
      </w:r>
    </w:p>
    <w:p w14:paraId="4BD85825" w14:textId="77777777" w:rsidR="0078111F" w:rsidRDefault="0078111F" w:rsidP="0078111F">
      <w:pPr>
        <w:pStyle w:val="Heading1"/>
      </w:pPr>
      <w:bookmarkStart w:id="37" w:name="_Toc465167564"/>
      <w:bookmarkStart w:id="38" w:name="_Toc51083194"/>
      <w:r>
        <w:t>Feedback</w:t>
      </w:r>
      <w:bookmarkEnd w:id="37"/>
      <w:bookmarkEnd w:id="38"/>
    </w:p>
    <w:p w14:paraId="45BA6BF7" w14:textId="77777777" w:rsidR="0078111F" w:rsidRPr="00753DCC" w:rsidRDefault="0078111F" w:rsidP="0078111F">
      <w:pPr>
        <w:pStyle w:val="Default"/>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This report aimed to: </w:t>
      </w:r>
    </w:p>
    <w:p w14:paraId="1BCCCB7C" w14:textId="77777777" w:rsidR="0078111F" w:rsidRDefault="0078111F" w:rsidP="0078111F">
      <w:pPr>
        <w:pStyle w:val="Default"/>
        <w:spacing w:after="58"/>
        <w:rPr>
          <w:sz w:val="22"/>
          <w:szCs w:val="22"/>
        </w:rPr>
      </w:pPr>
    </w:p>
    <w:p w14:paraId="1AA704FA" w14:textId="05825F00"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Share a broad overview of undergraduate conduct at the College from Summer 201</w:t>
      </w:r>
      <w:r w:rsidR="000D25B6">
        <w:rPr>
          <w:rFonts w:asciiTheme="minorHAnsi" w:hAnsiTheme="minorHAnsi" w:cstheme="minorBidi"/>
          <w:color w:val="auto"/>
          <w:sz w:val="22"/>
          <w:szCs w:val="22"/>
        </w:rPr>
        <w:t>9</w:t>
      </w:r>
      <w:r w:rsidR="00CA3AF9">
        <w:rPr>
          <w:rFonts w:asciiTheme="minorHAnsi" w:hAnsiTheme="minorHAnsi" w:cstheme="minorBidi"/>
          <w:color w:val="auto"/>
          <w:sz w:val="22"/>
          <w:szCs w:val="22"/>
        </w:rPr>
        <w:t xml:space="preserve"> </w:t>
      </w:r>
      <w:r w:rsidRPr="00753DCC">
        <w:rPr>
          <w:rFonts w:asciiTheme="minorHAnsi" w:hAnsiTheme="minorHAnsi" w:cstheme="minorBidi"/>
          <w:color w:val="auto"/>
          <w:sz w:val="22"/>
          <w:szCs w:val="22"/>
        </w:rPr>
        <w:t>- Spring 20</w:t>
      </w:r>
      <w:r w:rsidR="000D25B6">
        <w:rPr>
          <w:rFonts w:asciiTheme="minorHAnsi" w:hAnsiTheme="minorHAnsi" w:cstheme="minorBidi"/>
          <w:color w:val="auto"/>
          <w:sz w:val="22"/>
          <w:szCs w:val="22"/>
        </w:rPr>
        <w:t>20</w:t>
      </w:r>
      <w:r w:rsidRPr="00753DCC">
        <w:rPr>
          <w:rFonts w:asciiTheme="minorHAnsi" w:hAnsiTheme="minorHAnsi" w:cstheme="minorBidi"/>
          <w:color w:val="auto"/>
          <w:sz w:val="22"/>
          <w:szCs w:val="22"/>
        </w:rPr>
        <w:t xml:space="preserve">; </w:t>
      </w:r>
    </w:p>
    <w:p w14:paraId="1476B5C0" w14:textId="77777777"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Promote transparency in and knowledge about our systems of holding undergraduate students and student organizations accountable; and, </w:t>
      </w:r>
    </w:p>
    <w:p w14:paraId="292752CE" w14:textId="77777777" w:rsidR="0078111F" w:rsidRPr="00753DCC"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Engage the community in the prevention of conduct that harms or has the potential to harm individuals, our learning community, and the integrity of the degrees that we award. </w:t>
      </w:r>
    </w:p>
    <w:p w14:paraId="64A06A52" w14:textId="77777777" w:rsidR="0078111F" w:rsidRPr="00753DCC" w:rsidRDefault="0078111F" w:rsidP="0078111F">
      <w:pPr>
        <w:pStyle w:val="Default"/>
        <w:rPr>
          <w:rFonts w:asciiTheme="minorHAnsi" w:hAnsiTheme="minorHAnsi" w:cstheme="minorBidi"/>
          <w:color w:val="auto"/>
          <w:sz w:val="22"/>
          <w:szCs w:val="22"/>
        </w:rPr>
      </w:pPr>
    </w:p>
    <w:p w14:paraId="541C1F14" w14:textId="0A0CC3F6" w:rsidR="0078111F" w:rsidRDefault="0078111F">
      <w:r>
        <w:t xml:space="preserve">We welcome your feedback and suggestions via e-mail to </w:t>
      </w:r>
      <w:r w:rsidR="00177937">
        <w:rPr>
          <w:color w:val="0462C1"/>
        </w:rPr>
        <w:t>Community.Standards</w:t>
      </w:r>
      <w:r>
        <w:rPr>
          <w:color w:val="0462C1"/>
        </w:rPr>
        <w:t>@Dartmouth.edu</w:t>
      </w:r>
      <w:r>
        <w:t xml:space="preserve">. In your email, please let us know if you are a current student, parent/guardian, alum, faculty, or staff member and how future reports can better meet the described objectives. </w:t>
      </w:r>
    </w:p>
    <w:sectPr w:rsidR="0078111F" w:rsidSect="00A22508">
      <w:head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C7D9" w14:textId="77777777" w:rsidR="00743012" w:rsidRDefault="00743012" w:rsidP="0078111F">
      <w:pPr>
        <w:spacing w:after="0" w:line="240" w:lineRule="auto"/>
      </w:pPr>
      <w:r>
        <w:separator/>
      </w:r>
    </w:p>
  </w:endnote>
  <w:endnote w:type="continuationSeparator" w:id="0">
    <w:p w14:paraId="2529EA7B" w14:textId="77777777" w:rsidR="00743012" w:rsidRDefault="00743012" w:rsidP="0078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CD57" w14:textId="77777777" w:rsidR="00743012" w:rsidRDefault="00743012" w:rsidP="0078111F">
      <w:pPr>
        <w:spacing w:after="0" w:line="240" w:lineRule="auto"/>
      </w:pPr>
      <w:r>
        <w:separator/>
      </w:r>
    </w:p>
  </w:footnote>
  <w:footnote w:type="continuationSeparator" w:id="0">
    <w:p w14:paraId="77ED27B4" w14:textId="77777777" w:rsidR="00743012" w:rsidRDefault="00743012" w:rsidP="0078111F">
      <w:pPr>
        <w:spacing w:after="0" w:line="240" w:lineRule="auto"/>
      </w:pPr>
      <w:r>
        <w:continuationSeparator/>
      </w:r>
    </w:p>
  </w:footnote>
  <w:footnote w:id="1">
    <w:p w14:paraId="4AE771A3" w14:textId="10552FA4" w:rsidR="00813F70" w:rsidRPr="00CB6296" w:rsidRDefault="00813F70">
      <w:pPr>
        <w:pStyle w:val="FootnoteText"/>
        <w:rPr>
          <w:color w:val="DF5327" w:themeColor="accent6"/>
        </w:rPr>
      </w:pPr>
      <w:r w:rsidRPr="00CB6296">
        <w:rPr>
          <w:rStyle w:val="FootnoteReference"/>
          <w:color w:val="DF5327" w:themeColor="accent6"/>
        </w:rPr>
        <w:footnoteRef/>
      </w:r>
      <w:r w:rsidRPr="00CB6296">
        <w:rPr>
          <w:color w:val="DF5327" w:themeColor="accent6"/>
        </w:rPr>
        <w:t xml:space="preserve"> This report reflects cases that were resolved between June 16, 2019, and June 15, 20</w:t>
      </w:r>
      <w:r w:rsidR="00317CB8">
        <w:rPr>
          <w:color w:val="DF5327" w:themeColor="accent6"/>
        </w:rPr>
        <w:t>20</w:t>
      </w:r>
      <w:r w:rsidRPr="00CB6296">
        <w:rPr>
          <w:color w:val="DF5327" w:themeColor="accent6"/>
        </w:rPr>
        <w:t>, under the Unified Disciplinary Procedures (UDP).  The Sexual and Gender-Based Misconduct Policy (SMP) was adopted September 1, 2019.</w:t>
      </w:r>
    </w:p>
  </w:footnote>
  <w:footnote w:id="2">
    <w:p w14:paraId="166C387D" w14:textId="734E0EF5" w:rsidR="00813F70" w:rsidRPr="00CB6296" w:rsidRDefault="00813F70" w:rsidP="0078111F">
      <w:pPr>
        <w:pStyle w:val="FootnoteText"/>
        <w:rPr>
          <w:color w:val="DF5327" w:themeColor="accent6"/>
        </w:rPr>
      </w:pPr>
      <w:r w:rsidRPr="00CB6296">
        <w:rPr>
          <w:rStyle w:val="FootnoteReference"/>
          <w:color w:val="DF5327" w:themeColor="accent6"/>
        </w:rPr>
        <w:footnoteRef/>
      </w:r>
      <w:r w:rsidRPr="00CB6296">
        <w:rPr>
          <w:color w:val="DF5327" w:themeColor="accent6"/>
        </w:rPr>
        <w:t xml:space="preserve"> Academic Progress requirements are described here:  </w:t>
      </w:r>
      <w:hyperlink r:id="rId1" w:history="1">
        <w:r w:rsidRPr="00CB6296">
          <w:rPr>
            <w:rStyle w:val="Hyperlink"/>
            <w:color w:val="DF5327" w:themeColor="accent6"/>
          </w:rPr>
          <w:t>http://student-affairs.dartmouth.edu/policy/academic-regulations-and-actions</w:t>
        </w:r>
      </w:hyperlink>
    </w:p>
    <w:p w14:paraId="50BFCADB" w14:textId="77777777" w:rsidR="00813F70" w:rsidRDefault="00813F70" w:rsidP="0078111F">
      <w:pPr>
        <w:pStyle w:val="FootnoteText"/>
      </w:pPr>
    </w:p>
  </w:footnote>
  <w:footnote w:id="3">
    <w:p w14:paraId="792E384E" w14:textId="6AC3F8F3" w:rsidR="00813F70" w:rsidRDefault="00813F70" w:rsidP="0078111F">
      <w:pPr>
        <w:pStyle w:val="FootnoteText"/>
      </w:pPr>
      <w:r>
        <w:rPr>
          <w:rStyle w:val="FootnoteReference"/>
        </w:rPr>
        <w:footnoteRef/>
      </w:r>
      <w:r>
        <w:t xml:space="preserve"> </w:t>
      </w:r>
      <w:hyperlink r:id="rId2" w:history="1">
        <w:r w:rsidRPr="009579A9">
          <w:rPr>
            <w:rStyle w:val="Hyperlink"/>
          </w:rPr>
          <w:t>https://sexual-respect.dartmouth.edu/compliance/dartmouth-sexual-and-gender-based-misconduct-policy-and-procedures</w:t>
        </w:r>
      </w:hyperlink>
    </w:p>
    <w:p w14:paraId="23E61028" w14:textId="77777777" w:rsidR="00813F70" w:rsidRDefault="00813F70" w:rsidP="0078111F">
      <w:pPr>
        <w:pStyle w:val="FootnoteText"/>
      </w:pPr>
    </w:p>
  </w:footnote>
  <w:footnote w:id="4">
    <w:p w14:paraId="6024CBEC" w14:textId="77CB0848" w:rsidR="00813F70" w:rsidRDefault="00813F70" w:rsidP="00404B91">
      <w:pPr>
        <w:pStyle w:val="FootnoteText"/>
      </w:pPr>
      <w:r>
        <w:rPr>
          <w:rStyle w:val="FootnoteReference"/>
        </w:rPr>
        <w:footnoteRef/>
      </w:r>
      <w:r>
        <w:t xml:space="preserve"> The Group Accountability Statement (</w:t>
      </w:r>
      <w:r w:rsidRPr="002D49B3">
        <w:t>https://students.dartmouth.edu/student-life/policy/group-accountability-statement</w:t>
      </w:r>
      <w:r>
        <w:t xml:space="preserve"> presents the College’s position on the responsibility for the conduct of officers and members of undergraduate student organizations.  Newly elected presidents are encouraged to speak with their advisor or Judicial Affairs to learn if their organization has a recent history of misconduct.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31211"/>
      <w:docPartObj>
        <w:docPartGallery w:val="Page Numbers (Top of Page)"/>
        <w:docPartUnique/>
      </w:docPartObj>
    </w:sdtPr>
    <w:sdtEndPr>
      <w:rPr>
        <w:color w:val="7F7F7F" w:themeColor="background1" w:themeShade="7F"/>
        <w:spacing w:val="60"/>
      </w:rPr>
    </w:sdtEndPr>
    <w:sdtContent>
      <w:p w14:paraId="07702D9D" w14:textId="762D487E" w:rsidR="00813F70" w:rsidRDefault="00813F7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313792">
          <w:rPr>
            <w:b/>
            <w:bCs/>
            <w:noProof/>
          </w:rPr>
          <w:t>3</w:t>
        </w:r>
        <w:r>
          <w:rPr>
            <w:b/>
            <w:bCs/>
            <w:noProof/>
          </w:rPr>
          <w:fldChar w:fldCharType="end"/>
        </w:r>
        <w:r>
          <w:rPr>
            <w:b/>
            <w:bCs/>
          </w:rPr>
          <w:t xml:space="preserve"> | </w:t>
        </w:r>
        <w:r>
          <w:rPr>
            <w:color w:val="7F7F7F" w:themeColor="background1" w:themeShade="7F"/>
            <w:spacing w:val="60"/>
          </w:rPr>
          <w:t>Page</w:t>
        </w:r>
      </w:p>
    </w:sdtContent>
  </w:sdt>
  <w:p w14:paraId="59E889A1" w14:textId="77777777" w:rsidR="00813F70" w:rsidRDefault="0081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2A1" w14:textId="05E88EA9" w:rsidR="00813F70" w:rsidRDefault="00813F70">
    <w:pPr>
      <w:pStyle w:val="Header"/>
      <w:pBdr>
        <w:bottom w:val="single" w:sz="4" w:space="1" w:color="D9D9D9" w:themeColor="background1" w:themeShade="D9"/>
      </w:pBdr>
      <w:rPr>
        <w:b/>
        <w:bCs/>
      </w:rPr>
    </w:pPr>
  </w:p>
  <w:p w14:paraId="1B2F9A5A" w14:textId="77777777" w:rsidR="00813F70" w:rsidRDefault="0081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2CD"/>
    <w:multiLevelType w:val="hybridMultilevel"/>
    <w:tmpl w:val="01B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6D7"/>
    <w:multiLevelType w:val="hybridMultilevel"/>
    <w:tmpl w:val="2C1EE67C"/>
    <w:lvl w:ilvl="0" w:tplc="5A943C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476C"/>
    <w:multiLevelType w:val="hybridMultilevel"/>
    <w:tmpl w:val="74F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576884">
    <w:abstractNumId w:val="2"/>
  </w:num>
  <w:num w:numId="2" w16cid:durableId="1444769272">
    <w:abstractNumId w:val="0"/>
  </w:num>
  <w:num w:numId="3" w16cid:durableId="1721633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1F"/>
    <w:rsid w:val="000039B4"/>
    <w:rsid w:val="00010397"/>
    <w:rsid w:val="00010BBA"/>
    <w:rsid w:val="00014449"/>
    <w:rsid w:val="00016BD8"/>
    <w:rsid w:val="00024851"/>
    <w:rsid w:val="000335B3"/>
    <w:rsid w:val="000344BA"/>
    <w:rsid w:val="00041EFB"/>
    <w:rsid w:val="000430C6"/>
    <w:rsid w:val="0004681F"/>
    <w:rsid w:val="00051DF0"/>
    <w:rsid w:val="000578CB"/>
    <w:rsid w:val="000621B7"/>
    <w:rsid w:val="00064CB4"/>
    <w:rsid w:val="00071E55"/>
    <w:rsid w:val="00072A47"/>
    <w:rsid w:val="00081CA9"/>
    <w:rsid w:val="000A0600"/>
    <w:rsid w:val="000A607C"/>
    <w:rsid w:val="000A7F09"/>
    <w:rsid w:val="000B5782"/>
    <w:rsid w:val="000C0A02"/>
    <w:rsid w:val="000C14DE"/>
    <w:rsid w:val="000D1A4D"/>
    <w:rsid w:val="000D25B6"/>
    <w:rsid w:val="000D40BF"/>
    <w:rsid w:val="000F134F"/>
    <w:rsid w:val="00101E77"/>
    <w:rsid w:val="001049F5"/>
    <w:rsid w:val="001110C4"/>
    <w:rsid w:val="00111F6F"/>
    <w:rsid w:val="00112F3E"/>
    <w:rsid w:val="00120F1E"/>
    <w:rsid w:val="001256DE"/>
    <w:rsid w:val="0013180B"/>
    <w:rsid w:val="00135A89"/>
    <w:rsid w:val="0013795C"/>
    <w:rsid w:val="0014021A"/>
    <w:rsid w:val="00140A0E"/>
    <w:rsid w:val="00144B5C"/>
    <w:rsid w:val="00145862"/>
    <w:rsid w:val="001531EC"/>
    <w:rsid w:val="00154DC5"/>
    <w:rsid w:val="00162F77"/>
    <w:rsid w:val="00164A6A"/>
    <w:rsid w:val="00167F06"/>
    <w:rsid w:val="00173AFB"/>
    <w:rsid w:val="00177937"/>
    <w:rsid w:val="00180875"/>
    <w:rsid w:val="00191725"/>
    <w:rsid w:val="001A076A"/>
    <w:rsid w:val="001B20F4"/>
    <w:rsid w:val="001B2DD3"/>
    <w:rsid w:val="001B7738"/>
    <w:rsid w:val="001D25D5"/>
    <w:rsid w:val="001D42F7"/>
    <w:rsid w:val="001E2354"/>
    <w:rsid w:val="001E26D4"/>
    <w:rsid w:val="001E37C7"/>
    <w:rsid w:val="001E70E9"/>
    <w:rsid w:val="001E7B4E"/>
    <w:rsid w:val="001F17EC"/>
    <w:rsid w:val="001F2884"/>
    <w:rsid w:val="002030DD"/>
    <w:rsid w:val="002036BF"/>
    <w:rsid w:val="00212FDD"/>
    <w:rsid w:val="002302A8"/>
    <w:rsid w:val="00235E66"/>
    <w:rsid w:val="002366A4"/>
    <w:rsid w:val="00246E49"/>
    <w:rsid w:val="0025491E"/>
    <w:rsid w:val="00260D29"/>
    <w:rsid w:val="002727AC"/>
    <w:rsid w:val="0028313D"/>
    <w:rsid w:val="00290493"/>
    <w:rsid w:val="00297776"/>
    <w:rsid w:val="002A1CF6"/>
    <w:rsid w:val="002A4A61"/>
    <w:rsid w:val="002B0EE7"/>
    <w:rsid w:val="002B4A66"/>
    <w:rsid w:val="002B5935"/>
    <w:rsid w:val="002B6085"/>
    <w:rsid w:val="002C1727"/>
    <w:rsid w:val="002D0807"/>
    <w:rsid w:val="002D125B"/>
    <w:rsid w:val="002D49B3"/>
    <w:rsid w:val="002E1DE2"/>
    <w:rsid w:val="002F6FAB"/>
    <w:rsid w:val="00313792"/>
    <w:rsid w:val="00314939"/>
    <w:rsid w:val="00317CB8"/>
    <w:rsid w:val="003262AA"/>
    <w:rsid w:val="00331728"/>
    <w:rsid w:val="0034480A"/>
    <w:rsid w:val="00346BBF"/>
    <w:rsid w:val="003513B2"/>
    <w:rsid w:val="00363491"/>
    <w:rsid w:val="00384D2D"/>
    <w:rsid w:val="003A4DE2"/>
    <w:rsid w:val="003B567C"/>
    <w:rsid w:val="003B63B8"/>
    <w:rsid w:val="003B789D"/>
    <w:rsid w:val="003B7ABB"/>
    <w:rsid w:val="003C4AE6"/>
    <w:rsid w:val="003C4E5D"/>
    <w:rsid w:val="003C6E00"/>
    <w:rsid w:val="003D79B8"/>
    <w:rsid w:val="003E1ECF"/>
    <w:rsid w:val="003E4C18"/>
    <w:rsid w:val="003F10E7"/>
    <w:rsid w:val="004013EC"/>
    <w:rsid w:val="004036DF"/>
    <w:rsid w:val="00404832"/>
    <w:rsid w:val="00404B91"/>
    <w:rsid w:val="00413EE2"/>
    <w:rsid w:val="00415D36"/>
    <w:rsid w:val="00421AD8"/>
    <w:rsid w:val="00424353"/>
    <w:rsid w:val="0044115F"/>
    <w:rsid w:val="00446982"/>
    <w:rsid w:val="00451FDE"/>
    <w:rsid w:val="004521A1"/>
    <w:rsid w:val="004552FE"/>
    <w:rsid w:val="00472667"/>
    <w:rsid w:val="00476035"/>
    <w:rsid w:val="00480452"/>
    <w:rsid w:val="0049343D"/>
    <w:rsid w:val="0049774A"/>
    <w:rsid w:val="004A616C"/>
    <w:rsid w:val="004B69CC"/>
    <w:rsid w:val="004D234C"/>
    <w:rsid w:val="004D3090"/>
    <w:rsid w:val="004E2052"/>
    <w:rsid w:val="004E46C7"/>
    <w:rsid w:val="004E65D0"/>
    <w:rsid w:val="005109E2"/>
    <w:rsid w:val="00512948"/>
    <w:rsid w:val="00522FA1"/>
    <w:rsid w:val="005277B9"/>
    <w:rsid w:val="00530A9A"/>
    <w:rsid w:val="00533558"/>
    <w:rsid w:val="00533B65"/>
    <w:rsid w:val="00536BA9"/>
    <w:rsid w:val="00566A22"/>
    <w:rsid w:val="005703AB"/>
    <w:rsid w:val="00587003"/>
    <w:rsid w:val="005929B9"/>
    <w:rsid w:val="0059362C"/>
    <w:rsid w:val="005A59F2"/>
    <w:rsid w:val="005B1861"/>
    <w:rsid w:val="005C3541"/>
    <w:rsid w:val="005C654A"/>
    <w:rsid w:val="005E1015"/>
    <w:rsid w:val="005E246B"/>
    <w:rsid w:val="005E3FBF"/>
    <w:rsid w:val="005E6D35"/>
    <w:rsid w:val="005E7414"/>
    <w:rsid w:val="005F4F9F"/>
    <w:rsid w:val="005F51EC"/>
    <w:rsid w:val="005F6FC1"/>
    <w:rsid w:val="005F764D"/>
    <w:rsid w:val="00600F92"/>
    <w:rsid w:val="006039A8"/>
    <w:rsid w:val="00607192"/>
    <w:rsid w:val="00611430"/>
    <w:rsid w:val="00611849"/>
    <w:rsid w:val="00617AD6"/>
    <w:rsid w:val="006203B2"/>
    <w:rsid w:val="00620932"/>
    <w:rsid w:val="00622CC4"/>
    <w:rsid w:val="00624B09"/>
    <w:rsid w:val="00631985"/>
    <w:rsid w:val="00632FFF"/>
    <w:rsid w:val="00645D76"/>
    <w:rsid w:val="00653468"/>
    <w:rsid w:val="00653E46"/>
    <w:rsid w:val="0068270E"/>
    <w:rsid w:val="00684E15"/>
    <w:rsid w:val="00686C89"/>
    <w:rsid w:val="0068709D"/>
    <w:rsid w:val="006913A8"/>
    <w:rsid w:val="006932AA"/>
    <w:rsid w:val="00693F3B"/>
    <w:rsid w:val="006B73A6"/>
    <w:rsid w:val="006C036B"/>
    <w:rsid w:val="006C4A39"/>
    <w:rsid w:val="006D2CBD"/>
    <w:rsid w:val="006D403E"/>
    <w:rsid w:val="006E6B39"/>
    <w:rsid w:val="006E7AED"/>
    <w:rsid w:val="006F5242"/>
    <w:rsid w:val="00702FF7"/>
    <w:rsid w:val="00720497"/>
    <w:rsid w:val="00730CB0"/>
    <w:rsid w:val="0073283D"/>
    <w:rsid w:val="00735B0A"/>
    <w:rsid w:val="00743012"/>
    <w:rsid w:val="00747530"/>
    <w:rsid w:val="00757848"/>
    <w:rsid w:val="00761C6D"/>
    <w:rsid w:val="007653FD"/>
    <w:rsid w:val="00777BB6"/>
    <w:rsid w:val="0078111F"/>
    <w:rsid w:val="00783704"/>
    <w:rsid w:val="007A0D33"/>
    <w:rsid w:val="007A21D3"/>
    <w:rsid w:val="007A2FE0"/>
    <w:rsid w:val="007A431E"/>
    <w:rsid w:val="007B57CA"/>
    <w:rsid w:val="007B7663"/>
    <w:rsid w:val="007D1770"/>
    <w:rsid w:val="007D192A"/>
    <w:rsid w:val="007D3230"/>
    <w:rsid w:val="007E488F"/>
    <w:rsid w:val="007E63FC"/>
    <w:rsid w:val="007E721A"/>
    <w:rsid w:val="007F24A9"/>
    <w:rsid w:val="00802EBE"/>
    <w:rsid w:val="00813F70"/>
    <w:rsid w:val="00833CB0"/>
    <w:rsid w:val="00846DCB"/>
    <w:rsid w:val="0085162E"/>
    <w:rsid w:val="00873688"/>
    <w:rsid w:val="00874197"/>
    <w:rsid w:val="00880EFD"/>
    <w:rsid w:val="00884433"/>
    <w:rsid w:val="0089105B"/>
    <w:rsid w:val="00891C62"/>
    <w:rsid w:val="008934A8"/>
    <w:rsid w:val="00895E22"/>
    <w:rsid w:val="008B0073"/>
    <w:rsid w:val="008B2A44"/>
    <w:rsid w:val="008C1007"/>
    <w:rsid w:val="008C303B"/>
    <w:rsid w:val="008D7B51"/>
    <w:rsid w:val="008E39AF"/>
    <w:rsid w:val="008F13EE"/>
    <w:rsid w:val="008F193E"/>
    <w:rsid w:val="008F4BE0"/>
    <w:rsid w:val="00901009"/>
    <w:rsid w:val="00901309"/>
    <w:rsid w:val="00903DAA"/>
    <w:rsid w:val="00904ED5"/>
    <w:rsid w:val="009153B1"/>
    <w:rsid w:val="00926B56"/>
    <w:rsid w:val="00927B4A"/>
    <w:rsid w:val="00946895"/>
    <w:rsid w:val="00947AD5"/>
    <w:rsid w:val="00953BB7"/>
    <w:rsid w:val="009540EE"/>
    <w:rsid w:val="00954801"/>
    <w:rsid w:val="00957E14"/>
    <w:rsid w:val="00980010"/>
    <w:rsid w:val="0098378E"/>
    <w:rsid w:val="00986886"/>
    <w:rsid w:val="00991BD6"/>
    <w:rsid w:val="009A5CC7"/>
    <w:rsid w:val="009A6A76"/>
    <w:rsid w:val="009A7A9E"/>
    <w:rsid w:val="009B1EF9"/>
    <w:rsid w:val="009C6AB6"/>
    <w:rsid w:val="009D08D7"/>
    <w:rsid w:val="009E3448"/>
    <w:rsid w:val="009E50E5"/>
    <w:rsid w:val="00A04AAA"/>
    <w:rsid w:val="00A10BF7"/>
    <w:rsid w:val="00A126F3"/>
    <w:rsid w:val="00A1676F"/>
    <w:rsid w:val="00A20435"/>
    <w:rsid w:val="00A22508"/>
    <w:rsid w:val="00A26172"/>
    <w:rsid w:val="00A31BEC"/>
    <w:rsid w:val="00A45ABB"/>
    <w:rsid w:val="00A6015B"/>
    <w:rsid w:val="00A611C6"/>
    <w:rsid w:val="00A61A23"/>
    <w:rsid w:val="00A6487A"/>
    <w:rsid w:val="00A67164"/>
    <w:rsid w:val="00A7408E"/>
    <w:rsid w:val="00A76408"/>
    <w:rsid w:val="00A97A35"/>
    <w:rsid w:val="00AA0545"/>
    <w:rsid w:val="00AA4792"/>
    <w:rsid w:val="00AA7641"/>
    <w:rsid w:val="00AB2377"/>
    <w:rsid w:val="00AB27F6"/>
    <w:rsid w:val="00AB73F2"/>
    <w:rsid w:val="00AC5DE3"/>
    <w:rsid w:val="00AD0ECE"/>
    <w:rsid w:val="00AD1164"/>
    <w:rsid w:val="00AD1427"/>
    <w:rsid w:val="00AE0696"/>
    <w:rsid w:val="00AF1210"/>
    <w:rsid w:val="00B14B6E"/>
    <w:rsid w:val="00B20455"/>
    <w:rsid w:val="00B2161D"/>
    <w:rsid w:val="00B22AF1"/>
    <w:rsid w:val="00B24EDD"/>
    <w:rsid w:val="00B312F4"/>
    <w:rsid w:val="00B332CF"/>
    <w:rsid w:val="00B3391C"/>
    <w:rsid w:val="00B37010"/>
    <w:rsid w:val="00B527D2"/>
    <w:rsid w:val="00B572FC"/>
    <w:rsid w:val="00B574F6"/>
    <w:rsid w:val="00B62553"/>
    <w:rsid w:val="00B64F5F"/>
    <w:rsid w:val="00B654DE"/>
    <w:rsid w:val="00B8240C"/>
    <w:rsid w:val="00B84255"/>
    <w:rsid w:val="00B84DB4"/>
    <w:rsid w:val="00B852AD"/>
    <w:rsid w:val="00B90D5E"/>
    <w:rsid w:val="00BB74A0"/>
    <w:rsid w:val="00BD1197"/>
    <w:rsid w:val="00BD540A"/>
    <w:rsid w:val="00BE0F47"/>
    <w:rsid w:val="00BE3C3A"/>
    <w:rsid w:val="00BE56ED"/>
    <w:rsid w:val="00BF2FE7"/>
    <w:rsid w:val="00BF338F"/>
    <w:rsid w:val="00BF38D7"/>
    <w:rsid w:val="00C10C0D"/>
    <w:rsid w:val="00C2465F"/>
    <w:rsid w:val="00C306B2"/>
    <w:rsid w:val="00C32944"/>
    <w:rsid w:val="00C342D8"/>
    <w:rsid w:val="00C42BA6"/>
    <w:rsid w:val="00C471CF"/>
    <w:rsid w:val="00C5011D"/>
    <w:rsid w:val="00C66575"/>
    <w:rsid w:val="00C7775A"/>
    <w:rsid w:val="00CA1DB1"/>
    <w:rsid w:val="00CA3AF9"/>
    <w:rsid w:val="00CA44FA"/>
    <w:rsid w:val="00CA63A8"/>
    <w:rsid w:val="00CA753D"/>
    <w:rsid w:val="00CB6296"/>
    <w:rsid w:val="00CC4495"/>
    <w:rsid w:val="00CC537B"/>
    <w:rsid w:val="00CC72CC"/>
    <w:rsid w:val="00CC7330"/>
    <w:rsid w:val="00CD351E"/>
    <w:rsid w:val="00CE6695"/>
    <w:rsid w:val="00CF51FF"/>
    <w:rsid w:val="00CF52AA"/>
    <w:rsid w:val="00CF56ED"/>
    <w:rsid w:val="00CF67E6"/>
    <w:rsid w:val="00D1083D"/>
    <w:rsid w:val="00D10926"/>
    <w:rsid w:val="00D13C2A"/>
    <w:rsid w:val="00D1451F"/>
    <w:rsid w:val="00D20918"/>
    <w:rsid w:val="00D30816"/>
    <w:rsid w:val="00D46FA0"/>
    <w:rsid w:val="00D57EF1"/>
    <w:rsid w:val="00D66631"/>
    <w:rsid w:val="00D720C7"/>
    <w:rsid w:val="00D7343E"/>
    <w:rsid w:val="00D75585"/>
    <w:rsid w:val="00D85857"/>
    <w:rsid w:val="00D870C2"/>
    <w:rsid w:val="00D91939"/>
    <w:rsid w:val="00D93D83"/>
    <w:rsid w:val="00D96D75"/>
    <w:rsid w:val="00DA5A38"/>
    <w:rsid w:val="00DB28D7"/>
    <w:rsid w:val="00DB68F0"/>
    <w:rsid w:val="00DC0B62"/>
    <w:rsid w:val="00DE4C32"/>
    <w:rsid w:val="00DF5B60"/>
    <w:rsid w:val="00DF63DF"/>
    <w:rsid w:val="00E24EB5"/>
    <w:rsid w:val="00E252C2"/>
    <w:rsid w:val="00E31597"/>
    <w:rsid w:val="00E40AA4"/>
    <w:rsid w:val="00E51DD1"/>
    <w:rsid w:val="00E51E7F"/>
    <w:rsid w:val="00E53C3D"/>
    <w:rsid w:val="00E61BDC"/>
    <w:rsid w:val="00E63E98"/>
    <w:rsid w:val="00E67CF9"/>
    <w:rsid w:val="00E776B6"/>
    <w:rsid w:val="00E77BBC"/>
    <w:rsid w:val="00E81A56"/>
    <w:rsid w:val="00E8567E"/>
    <w:rsid w:val="00E87538"/>
    <w:rsid w:val="00E87C62"/>
    <w:rsid w:val="00E935ED"/>
    <w:rsid w:val="00EB45F8"/>
    <w:rsid w:val="00EB70B6"/>
    <w:rsid w:val="00EB7760"/>
    <w:rsid w:val="00EB7B11"/>
    <w:rsid w:val="00EB7C30"/>
    <w:rsid w:val="00EC4D0A"/>
    <w:rsid w:val="00EC790E"/>
    <w:rsid w:val="00ED2DF8"/>
    <w:rsid w:val="00EF2C15"/>
    <w:rsid w:val="00EF6D7E"/>
    <w:rsid w:val="00EF6EAC"/>
    <w:rsid w:val="00EF7590"/>
    <w:rsid w:val="00F07697"/>
    <w:rsid w:val="00F13E14"/>
    <w:rsid w:val="00F16C3A"/>
    <w:rsid w:val="00F16E2C"/>
    <w:rsid w:val="00F312B5"/>
    <w:rsid w:val="00F346DD"/>
    <w:rsid w:val="00F363FD"/>
    <w:rsid w:val="00F411C0"/>
    <w:rsid w:val="00F43C26"/>
    <w:rsid w:val="00F46998"/>
    <w:rsid w:val="00F47079"/>
    <w:rsid w:val="00F47EE9"/>
    <w:rsid w:val="00F50472"/>
    <w:rsid w:val="00F51913"/>
    <w:rsid w:val="00F544A1"/>
    <w:rsid w:val="00F57232"/>
    <w:rsid w:val="00F609C5"/>
    <w:rsid w:val="00F72483"/>
    <w:rsid w:val="00F77E9C"/>
    <w:rsid w:val="00F842D9"/>
    <w:rsid w:val="00F844E3"/>
    <w:rsid w:val="00F90768"/>
    <w:rsid w:val="00F91F1F"/>
    <w:rsid w:val="00F93ACF"/>
    <w:rsid w:val="00FA3EE0"/>
    <w:rsid w:val="00FB01C1"/>
    <w:rsid w:val="00FB413E"/>
    <w:rsid w:val="00FC5955"/>
    <w:rsid w:val="00FC61EF"/>
    <w:rsid w:val="00FD7ABE"/>
    <w:rsid w:val="00FF50B8"/>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EB59B"/>
  <w15:chartTrackingRefBased/>
  <w15:docId w15:val="{507E3669-2CFC-4E13-90DD-C555251E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11F"/>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78111F"/>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11F"/>
    <w:rPr>
      <w:rFonts w:asciiTheme="majorHAnsi" w:eastAsiaTheme="majorEastAsia" w:hAnsiTheme="majorHAnsi" w:cstheme="majorBidi"/>
      <w:color w:val="306785" w:themeColor="accent1" w:themeShade="BF"/>
      <w:sz w:val="26"/>
      <w:szCs w:val="26"/>
    </w:rPr>
  </w:style>
  <w:style w:type="paragraph" w:styleId="FootnoteText">
    <w:name w:val="footnote text"/>
    <w:basedOn w:val="Normal"/>
    <w:link w:val="FootnoteTextChar"/>
    <w:uiPriority w:val="99"/>
    <w:semiHidden/>
    <w:unhideWhenUsed/>
    <w:rsid w:val="00781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11F"/>
    <w:rPr>
      <w:sz w:val="20"/>
      <w:szCs w:val="20"/>
    </w:rPr>
  </w:style>
  <w:style w:type="character" w:styleId="FootnoteReference">
    <w:name w:val="footnote reference"/>
    <w:basedOn w:val="DefaultParagraphFont"/>
    <w:uiPriority w:val="99"/>
    <w:semiHidden/>
    <w:unhideWhenUsed/>
    <w:rsid w:val="0078111F"/>
    <w:rPr>
      <w:vertAlign w:val="superscript"/>
    </w:rPr>
  </w:style>
  <w:style w:type="character" w:customStyle="1" w:styleId="Heading1Char">
    <w:name w:val="Heading 1 Char"/>
    <w:basedOn w:val="DefaultParagraphFont"/>
    <w:link w:val="Heading1"/>
    <w:uiPriority w:val="9"/>
    <w:rsid w:val="0078111F"/>
    <w:rPr>
      <w:rFonts w:asciiTheme="majorHAnsi" w:eastAsiaTheme="majorEastAsia" w:hAnsiTheme="majorHAnsi" w:cstheme="majorBidi"/>
      <w:color w:val="306785" w:themeColor="accent1" w:themeShade="BF"/>
      <w:sz w:val="32"/>
      <w:szCs w:val="32"/>
    </w:rPr>
  </w:style>
  <w:style w:type="paragraph" w:styleId="Caption">
    <w:name w:val="caption"/>
    <w:basedOn w:val="Normal"/>
    <w:next w:val="Normal"/>
    <w:uiPriority w:val="35"/>
    <w:unhideWhenUsed/>
    <w:qFormat/>
    <w:rsid w:val="0078111F"/>
    <w:pPr>
      <w:spacing w:after="200" w:line="240" w:lineRule="auto"/>
    </w:pPr>
    <w:rPr>
      <w:i/>
      <w:iCs/>
      <w:color w:val="5E5E5E" w:themeColor="text2"/>
      <w:sz w:val="18"/>
      <w:szCs w:val="18"/>
    </w:rPr>
  </w:style>
  <w:style w:type="table" w:styleId="TableGrid">
    <w:name w:val="Table Grid"/>
    <w:basedOn w:val="TableNormal"/>
    <w:uiPriority w:val="59"/>
    <w:rsid w:val="0078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11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link w:val="NoSpacingChar"/>
    <w:uiPriority w:val="1"/>
    <w:qFormat/>
    <w:rsid w:val="0078111F"/>
    <w:pPr>
      <w:spacing w:after="0" w:line="240" w:lineRule="auto"/>
    </w:pPr>
    <w:rPr>
      <w:rFonts w:eastAsiaTheme="minorEastAsia"/>
    </w:rPr>
  </w:style>
  <w:style w:type="character" w:customStyle="1" w:styleId="NoSpacingChar">
    <w:name w:val="No Spacing Char"/>
    <w:basedOn w:val="DefaultParagraphFont"/>
    <w:link w:val="NoSpacing"/>
    <w:uiPriority w:val="1"/>
    <w:rsid w:val="0078111F"/>
    <w:rPr>
      <w:rFonts w:eastAsiaTheme="minorEastAsia"/>
    </w:rPr>
  </w:style>
  <w:style w:type="paragraph" w:styleId="BalloonText">
    <w:name w:val="Balloon Text"/>
    <w:basedOn w:val="Normal"/>
    <w:link w:val="BalloonTextChar"/>
    <w:uiPriority w:val="99"/>
    <w:semiHidden/>
    <w:unhideWhenUsed/>
    <w:rsid w:val="0078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1F"/>
    <w:rPr>
      <w:rFonts w:ascii="Segoe UI" w:hAnsi="Segoe UI" w:cs="Segoe UI"/>
      <w:sz w:val="18"/>
      <w:szCs w:val="18"/>
    </w:rPr>
  </w:style>
  <w:style w:type="character" w:styleId="CommentReference">
    <w:name w:val="annotation reference"/>
    <w:basedOn w:val="DefaultParagraphFont"/>
    <w:uiPriority w:val="99"/>
    <w:semiHidden/>
    <w:unhideWhenUsed/>
    <w:rsid w:val="00476035"/>
    <w:rPr>
      <w:sz w:val="16"/>
      <w:szCs w:val="16"/>
    </w:rPr>
  </w:style>
  <w:style w:type="paragraph" w:styleId="CommentText">
    <w:name w:val="annotation text"/>
    <w:basedOn w:val="Normal"/>
    <w:link w:val="CommentTextChar"/>
    <w:uiPriority w:val="99"/>
    <w:unhideWhenUsed/>
    <w:rsid w:val="00476035"/>
    <w:pPr>
      <w:spacing w:line="240" w:lineRule="auto"/>
    </w:pPr>
    <w:rPr>
      <w:sz w:val="20"/>
      <w:szCs w:val="20"/>
    </w:rPr>
  </w:style>
  <w:style w:type="character" w:customStyle="1" w:styleId="CommentTextChar">
    <w:name w:val="Comment Text Char"/>
    <w:basedOn w:val="DefaultParagraphFont"/>
    <w:link w:val="CommentText"/>
    <w:uiPriority w:val="99"/>
    <w:rsid w:val="00476035"/>
    <w:rPr>
      <w:sz w:val="20"/>
      <w:szCs w:val="20"/>
    </w:rPr>
  </w:style>
  <w:style w:type="paragraph" w:styleId="CommentSubject">
    <w:name w:val="annotation subject"/>
    <w:basedOn w:val="CommentText"/>
    <w:next w:val="CommentText"/>
    <w:link w:val="CommentSubjectChar"/>
    <w:uiPriority w:val="99"/>
    <w:semiHidden/>
    <w:unhideWhenUsed/>
    <w:rsid w:val="00476035"/>
    <w:rPr>
      <w:b/>
      <w:bCs/>
    </w:rPr>
  </w:style>
  <w:style w:type="character" w:customStyle="1" w:styleId="CommentSubjectChar">
    <w:name w:val="Comment Subject Char"/>
    <w:basedOn w:val="CommentTextChar"/>
    <w:link w:val="CommentSubject"/>
    <w:uiPriority w:val="99"/>
    <w:semiHidden/>
    <w:rsid w:val="00476035"/>
    <w:rPr>
      <w:b/>
      <w:bCs/>
      <w:sz w:val="20"/>
      <w:szCs w:val="20"/>
    </w:rPr>
  </w:style>
  <w:style w:type="character" w:styleId="Hyperlink">
    <w:name w:val="Hyperlink"/>
    <w:basedOn w:val="DefaultParagraphFont"/>
    <w:uiPriority w:val="99"/>
    <w:unhideWhenUsed/>
    <w:rsid w:val="006039A8"/>
    <w:rPr>
      <w:color w:val="F59E00" w:themeColor="hyperlink"/>
      <w:u w:val="single"/>
    </w:rPr>
  </w:style>
  <w:style w:type="paragraph" w:styleId="Header">
    <w:name w:val="header"/>
    <w:basedOn w:val="Normal"/>
    <w:link w:val="HeaderChar"/>
    <w:uiPriority w:val="99"/>
    <w:unhideWhenUsed/>
    <w:rsid w:val="00D7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C7"/>
  </w:style>
  <w:style w:type="paragraph" w:styleId="Footer">
    <w:name w:val="footer"/>
    <w:basedOn w:val="Normal"/>
    <w:link w:val="FooterChar"/>
    <w:uiPriority w:val="99"/>
    <w:unhideWhenUsed/>
    <w:rsid w:val="00D7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C7"/>
  </w:style>
  <w:style w:type="paragraph" w:styleId="TOCHeading">
    <w:name w:val="TOC Heading"/>
    <w:basedOn w:val="Heading1"/>
    <w:next w:val="Normal"/>
    <w:uiPriority w:val="39"/>
    <w:unhideWhenUsed/>
    <w:qFormat/>
    <w:rsid w:val="00CC7330"/>
    <w:pPr>
      <w:outlineLvl w:val="9"/>
    </w:pPr>
  </w:style>
  <w:style w:type="paragraph" w:styleId="TOC2">
    <w:name w:val="toc 2"/>
    <w:basedOn w:val="Normal"/>
    <w:next w:val="Normal"/>
    <w:autoRedefine/>
    <w:uiPriority w:val="39"/>
    <w:unhideWhenUsed/>
    <w:rsid w:val="00CC7330"/>
    <w:pPr>
      <w:spacing w:after="100"/>
      <w:ind w:left="220"/>
    </w:pPr>
    <w:rPr>
      <w:rFonts w:eastAsiaTheme="minorEastAsia" w:cs="Times New Roman"/>
    </w:rPr>
  </w:style>
  <w:style w:type="paragraph" w:styleId="TOC1">
    <w:name w:val="toc 1"/>
    <w:basedOn w:val="Normal"/>
    <w:next w:val="Normal"/>
    <w:autoRedefine/>
    <w:uiPriority w:val="39"/>
    <w:unhideWhenUsed/>
    <w:rsid w:val="00CC7330"/>
    <w:pPr>
      <w:spacing w:after="100"/>
    </w:pPr>
    <w:rPr>
      <w:rFonts w:eastAsiaTheme="minorEastAsia" w:cs="Times New Roman"/>
    </w:rPr>
  </w:style>
  <w:style w:type="paragraph" w:styleId="TOC3">
    <w:name w:val="toc 3"/>
    <w:basedOn w:val="Normal"/>
    <w:next w:val="Normal"/>
    <w:autoRedefine/>
    <w:uiPriority w:val="39"/>
    <w:unhideWhenUsed/>
    <w:rsid w:val="00CC7330"/>
    <w:pPr>
      <w:spacing w:after="100"/>
      <w:ind w:left="440"/>
    </w:pPr>
    <w:rPr>
      <w:rFonts w:eastAsiaTheme="minorEastAsia" w:cs="Times New Roman"/>
    </w:rPr>
  </w:style>
  <w:style w:type="paragraph" w:styleId="EndnoteText">
    <w:name w:val="endnote text"/>
    <w:basedOn w:val="Normal"/>
    <w:link w:val="EndnoteTextChar"/>
    <w:uiPriority w:val="99"/>
    <w:semiHidden/>
    <w:unhideWhenUsed/>
    <w:rsid w:val="00E51E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E7F"/>
    <w:rPr>
      <w:sz w:val="20"/>
      <w:szCs w:val="20"/>
    </w:rPr>
  </w:style>
  <w:style w:type="character" w:styleId="EndnoteReference">
    <w:name w:val="endnote reference"/>
    <w:basedOn w:val="DefaultParagraphFont"/>
    <w:uiPriority w:val="99"/>
    <w:semiHidden/>
    <w:unhideWhenUsed/>
    <w:rsid w:val="00E51E7F"/>
    <w:rPr>
      <w:vertAlign w:val="superscript"/>
    </w:rPr>
  </w:style>
  <w:style w:type="table" w:customStyle="1" w:styleId="TableGrid1">
    <w:name w:val="Table Grid1"/>
    <w:basedOn w:val="TableNormal"/>
    <w:next w:val="TableGrid"/>
    <w:uiPriority w:val="59"/>
    <w:rsid w:val="008D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4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7C30"/>
    <w:rPr>
      <w:color w:val="B2B2B2" w:themeColor="followedHyperlink"/>
      <w:u w:val="single"/>
    </w:rPr>
  </w:style>
  <w:style w:type="character" w:styleId="UnresolvedMention">
    <w:name w:val="Unresolved Mention"/>
    <w:basedOn w:val="DefaultParagraphFont"/>
    <w:uiPriority w:val="99"/>
    <w:semiHidden/>
    <w:unhideWhenUsed/>
    <w:rsid w:val="002D0807"/>
    <w:rPr>
      <w:color w:val="605E5C"/>
      <w:shd w:val="clear" w:color="auto" w:fill="E1DFDD"/>
    </w:rPr>
  </w:style>
  <w:style w:type="paragraph" w:styleId="Revision">
    <w:name w:val="Revision"/>
    <w:hidden/>
    <w:uiPriority w:val="99"/>
    <w:semiHidden/>
    <w:rsid w:val="00E24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291">
      <w:bodyDiv w:val="1"/>
      <w:marLeft w:val="0"/>
      <w:marRight w:val="0"/>
      <w:marTop w:val="0"/>
      <w:marBottom w:val="0"/>
      <w:divBdr>
        <w:top w:val="none" w:sz="0" w:space="0" w:color="auto"/>
        <w:left w:val="none" w:sz="0" w:space="0" w:color="auto"/>
        <w:bottom w:val="none" w:sz="0" w:space="0" w:color="auto"/>
        <w:right w:val="none" w:sz="0" w:space="0" w:color="auto"/>
      </w:divBdr>
    </w:div>
    <w:div w:id="70661206">
      <w:bodyDiv w:val="1"/>
      <w:marLeft w:val="0"/>
      <w:marRight w:val="0"/>
      <w:marTop w:val="0"/>
      <w:marBottom w:val="0"/>
      <w:divBdr>
        <w:top w:val="none" w:sz="0" w:space="0" w:color="auto"/>
        <w:left w:val="none" w:sz="0" w:space="0" w:color="auto"/>
        <w:bottom w:val="none" w:sz="0" w:space="0" w:color="auto"/>
        <w:right w:val="none" w:sz="0" w:space="0" w:color="auto"/>
      </w:divBdr>
    </w:div>
    <w:div w:id="232273778">
      <w:bodyDiv w:val="1"/>
      <w:marLeft w:val="0"/>
      <w:marRight w:val="0"/>
      <w:marTop w:val="0"/>
      <w:marBottom w:val="0"/>
      <w:divBdr>
        <w:top w:val="none" w:sz="0" w:space="0" w:color="auto"/>
        <w:left w:val="none" w:sz="0" w:space="0" w:color="auto"/>
        <w:bottom w:val="none" w:sz="0" w:space="0" w:color="auto"/>
        <w:right w:val="none" w:sz="0" w:space="0" w:color="auto"/>
      </w:divBdr>
    </w:div>
    <w:div w:id="270356657">
      <w:bodyDiv w:val="1"/>
      <w:marLeft w:val="0"/>
      <w:marRight w:val="0"/>
      <w:marTop w:val="0"/>
      <w:marBottom w:val="0"/>
      <w:divBdr>
        <w:top w:val="none" w:sz="0" w:space="0" w:color="auto"/>
        <w:left w:val="none" w:sz="0" w:space="0" w:color="auto"/>
        <w:bottom w:val="none" w:sz="0" w:space="0" w:color="auto"/>
        <w:right w:val="none" w:sz="0" w:space="0" w:color="auto"/>
      </w:divBdr>
    </w:div>
    <w:div w:id="563873991">
      <w:bodyDiv w:val="1"/>
      <w:marLeft w:val="0"/>
      <w:marRight w:val="0"/>
      <w:marTop w:val="0"/>
      <w:marBottom w:val="0"/>
      <w:divBdr>
        <w:top w:val="none" w:sz="0" w:space="0" w:color="auto"/>
        <w:left w:val="none" w:sz="0" w:space="0" w:color="auto"/>
        <w:bottom w:val="none" w:sz="0" w:space="0" w:color="auto"/>
        <w:right w:val="none" w:sz="0" w:space="0" w:color="auto"/>
      </w:divBdr>
    </w:div>
    <w:div w:id="660037932">
      <w:bodyDiv w:val="1"/>
      <w:marLeft w:val="0"/>
      <w:marRight w:val="0"/>
      <w:marTop w:val="0"/>
      <w:marBottom w:val="0"/>
      <w:divBdr>
        <w:top w:val="none" w:sz="0" w:space="0" w:color="auto"/>
        <w:left w:val="none" w:sz="0" w:space="0" w:color="auto"/>
        <w:bottom w:val="none" w:sz="0" w:space="0" w:color="auto"/>
        <w:right w:val="none" w:sz="0" w:space="0" w:color="auto"/>
      </w:divBdr>
    </w:div>
    <w:div w:id="712118127">
      <w:bodyDiv w:val="1"/>
      <w:marLeft w:val="0"/>
      <w:marRight w:val="0"/>
      <w:marTop w:val="0"/>
      <w:marBottom w:val="0"/>
      <w:divBdr>
        <w:top w:val="none" w:sz="0" w:space="0" w:color="auto"/>
        <w:left w:val="none" w:sz="0" w:space="0" w:color="auto"/>
        <w:bottom w:val="none" w:sz="0" w:space="0" w:color="auto"/>
        <w:right w:val="none" w:sz="0" w:space="0" w:color="auto"/>
      </w:divBdr>
    </w:div>
    <w:div w:id="821772703">
      <w:bodyDiv w:val="1"/>
      <w:marLeft w:val="0"/>
      <w:marRight w:val="0"/>
      <w:marTop w:val="0"/>
      <w:marBottom w:val="0"/>
      <w:divBdr>
        <w:top w:val="none" w:sz="0" w:space="0" w:color="auto"/>
        <w:left w:val="none" w:sz="0" w:space="0" w:color="auto"/>
        <w:bottom w:val="none" w:sz="0" w:space="0" w:color="auto"/>
        <w:right w:val="none" w:sz="0" w:space="0" w:color="auto"/>
      </w:divBdr>
    </w:div>
    <w:div w:id="855390564">
      <w:bodyDiv w:val="1"/>
      <w:marLeft w:val="0"/>
      <w:marRight w:val="0"/>
      <w:marTop w:val="0"/>
      <w:marBottom w:val="0"/>
      <w:divBdr>
        <w:top w:val="none" w:sz="0" w:space="0" w:color="auto"/>
        <w:left w:val="none" w:sz="0" w:space="0" w:color="auto"/>
        <w:bottom w:val="none" w:sz="0" w:space="0" w:color="auto"/>
        <w:right w:val="none" w:sz="0" w:space="0" w:color="auto"/>
      </w:divBdr>
    </w:div>
    <w:div w:id="889147783">
      <w:bodyDiv w:val="1"/>
      <w:marLeft w:val="0"/>
      <w:marRight w:val="0"/>
      <w:marTop w:val="0"/>
      <w:marBottom w:val="0"/>
      <w:divBdr>
        <w:top w:val="none" w:sz="0" w:space="0" w:color="auto"/>
        <w:left w:val="none" w:sz="0" w:space="0" w:color="auto"/>
        <w:bottom w:val="none" w:sz="0" w:space="0" w:color="auto"/>
        <w:right w:val="none" w:sz="0" w:space="0" w:color="auto"/>
      </w:divBdr>
    </w:div>
    <w:div w:id="897201823">
      <w:bodyDiv w:val="1"/>
      <w:marLeft w:val="0"/>
      <w:marRight w:val="0"/>
      <w:marTop w:val="0"/>
      <w:marBottom w:val="0"/>
      <w:divBdr>
        <w:top w:val="none" w:sz="0" w:space="0" w:color="auto"/>
        <w:left w:val="none" w:sz="0" w:space="0" w:color="auto"/>
        <w:bottom w:val="none" w:sz="0" w:space="0" w:color="auto"/>
        <w:right w:val="none" w:sz="0" w:space="0" w:color="auto"/>
      </w:divBdr>
    </w:div>
    <w:div w:id="912588853">
      <w:bodyDiv w:val="1"/>
      <w:marLeft w:val="0"/>
      <w:marRight w:val="0"/>
      <w:marTop w:val="0"/>
      <w:marBottom w:val="0"/>
      <w:divBdr>
        <w:top w:val="none" w:sz="0" w:space="0" w:color="auto"/>
        <w:left w:val="none" w:sz="0" w:space="0" w:color="auto"/>
        <w:bottom w:val="none" w:sz="0" w:space="0" w:color="auto"/>
        <w:right w:val="none" w:sz="0" w:space="0" w:color="auto"/>
      </w:divBdr>
    </w:div>
    <w:div w:id="931428152">
      <w:bodyDiv w:val="1"/>
      <w:marLeft w:val="0"/>
      <w:marRight w:val="0"/>
      <w:marTop w:val="0"/>
      <w:marBottom w:val="0"/>
      <w:divBdr>
        <w:top w:val="none" w:sz="0" w:space="0" w:color="auto"/>
        <w:left w:val="none" w:sz="0" w:space="0" w:color="auto"/>
        <w:bottom w:val="none" w:sz="0" w:space="0" w:color="auto"/>
        <w:right w:val="none" w:sz="0" w:space="0" w:color="auto"/>
      </w:divBdr>
    </w:div>
    <w:div w:id="968127145">
      <w:bodyDiv w:val="1"/>
      <w:marLeft w:val="0"/>
      <w:marRight w:val="0"/>
      <w:marTop w:val="0"/>
      <w:marBottom w:val="0"/>
      <w:divBdr>
        <w:top w:val="none" w:sz="0" w:space="0" w:color="auto"/>
        <w:left w:val="none" w:sz="0" w:space="0" w:color="auto"/>
        <w:bottom w:val="none" w:sz="0" w:space="0" w:color="auto"/>
        <w:right w:val="none" w:sz="0" w:space="0" w:color="auto"/>
      </w:divBdr>
    </w:div>
    <w:div w:id="981275590">
      <w:bodyDiv w:val="1"/>
      <w:marLeft w:val="0"/>
      <w:marRight w:val="0"/>
      <w:marTop w:val="0"/>
      <w:marBottom w:val="0"/>
      <w:divBdr>
        <w:top w:val="none" w:sz="0" w:space="0" w:color="auto"/>
        <w:left w:val="none" w:sz="0" w:space="0" w:color="auto"/>
        <w:bottom w:val="none" w:sz="0" w:space="0" w:color="auto"/>
        <w:right w:val="none" w:sz="0" w:space="0" w:color="auto"/>
      </w:divBdr>
    </w:div>
    <w:div w:id="1003824297">
      <w:bodyDiv w:val="1"/>
      <w:marLeft w:val="0"/>
      <w:marRight w:val="0"/>
      <w:marTop w:val="0"/>
      <w:marBottom w:val="0"/>
      <w:divBdr>
        <w:top w:val="none" w:sz="0" w:space="0" w:color="auto"/>
        <w:left w:val="none" w:sz="0" w:space="0" w:color="auto"/>
        <w:bottom w:val="none" w:sz="0" w:space="0" w:color="auto"/>
        <w:right w:val="none" w:sz="0" w:space="0" w:color="auto"/>
      </w:divBdr>
    </w:div>
    <w:div w:id="1284267807">
      <w:bodyDiv w:val="1"/>
      <w:marLeft w:val="0"/>
      <w:marRight w:val="0"/>
      <w:marTop w:val="0"/>
      <w:marBottom w:val="0"/>
      <w:divBdr>
        <w:top w:val="none" w:sz="0" w:space="0" w:color="auto"/>
        <w:left w:val="none" w:sz="0" w:space="0" w:color="auto"/>
        <w:bottom w:val="none" w:sz="0" w:space="0" w:color="auto"/>
        <w:right w:val="none" w:sz="0" w:space="0" w:color="auto"/>
      </w:divBdr>
    </w:div>
    <w:div w:id="1294211614">
      <w:bodyDiv w:val="1"/>
      <w:marLeft w:val="0"/>
      <w:marRight w:val="0"/>
      <w:marTop w:val="0"/>
      <w:marBottom w:val="0"/>
      <w:divBdr>
        <w:top w:val="none" w:sz="0" w:space="0" w:color="auto"/>
        <w:left w:val="none" w:sz="0" w:space="0" w:color="auto"/>
        <w:bottom w:val="none" w:sz="0" w:space="0" w:color="auto"/>
        <w:right w:val="none" w:sz="0" w:space="0" w:color="auto"/>
      </w:divBdr>
    </w:div>
    <w:div w:id="1393886244">
      <w:bodyDiv w:val="1"/>
      <w:marLeft w:val="0"/>
      <w:marRight w:val="0"/>
      <w:marTop w:val="0"/>
      <w:marBottom w:val="0"/>
      <w:divBdr>
        <w:top w:val="none" w:sz="0" w:space="0" w:color="auto"/>
        <w:left w:val="none" w:sz="0" w:space="0" w:color="auto"/>
        <w:bottom w:val="none" w:sz="0" w:space="0" w:color="auto"/>
        <w:right w:val="none" w:sz="0" w:space="0" w:color="auto"/>
      </w:divBdr>
    </w:div>
    <w:div w:id="1445419699">
      <w:bodyDiv w:val="1"/>
      <w:marLeft w:val="0"/>
      <w:marRight w:val="0"/>
      <w:marTop w:val="0"/>
      <w:marBottom w:val="0"/>
      <w:divBdr>
        <w:top w:val="none" w:sz="0" w:space="0" w:color="auto"/>
        <w:left w:val="none" w:sz="0" w:space="0" w:color="auto"/>
        <w:bottom w:val="none" w:sz="0" w:space="0" w:color="auto"/>
        <w:right w:val="none" w:sz="0" w:space="0" w:color="auto"/>
      </w:divBdr>
    </w:div>
    <w:div w:id="1637487757">
      <w:bodyDiv w:val="1"/>
      <w:marLeft w:val="0"/>
      <w:marRight w:val="0"/>
      <w:marTop w:val="0"/>
      <w:marBottom w:val="0"/>
      <w:divBdr>
        <w:top w:val="none" w:sz="0" w:space="0" w:color="auto"/>
        <w:left w:val="none" w:sz="0" w:space="0" w:color="auto"/>
        <w:bottom w:val="none" w:sz="0" w:space="0" w:color="auto"/>
        <w:right w:val="none" w:sz="0" w:space="0" w:color="auto"/>
      </w:divBdr>
    </w:div>
    <w:div w:id="1663387605">
      <w:bodyDiv w:val="1"/>
      <w:marLeft w:val="0"/>
      <w:marRight w:val="0"/>
      <w:marTop w:val="0"/>
      <w:marBottom w:val="0"/>
      <w:divBdr>
        <w:top w:val="none" w:sz="0" w:space="0" w:color="auto"/>
        <w:left w:val="none" w:sz="0" w:space="0" w:color="auto"/>
        <w:bottom w:val="none" w:sz="0" w:space="0" w:color="auto"/>
        <w:right w:val="none" w:sz="0" w:space="0" w:color="auto"/>
      </w:divBdr>
    </w:div>
    <w:div w:id="1682123283">
      <w:bodyDiv w:val="1"/>
      <w:marLeft w:val="0"/>
      <w:marRight w:val="0"/>
      <w:marTop w:val="0"/>
      <w:marBottom w:val="0"/>
      <w:divBdr>
        <w:top w:val="none" w:sz="0" w:space="0" w:color="auto"/>
        <w:left w:val="none" w:sz="0" w:space="0" w:color="auto"/>
        <w:bottom w:val="none" w:sz="0" w:space="0" w:color="auto"/>
        <w:right w:val="none" w:sz="0" w:space="0" w:color="auto"/>
      </w:divBdr>
    </w:div>
    <w:div w:id="1697387921">
      <w:bodyDiv w:val="1"/>
      <w:marLeft w:val="0"/>
      <w:marRight w:val="0"/>
      <w:marTop w:val="0"/>
      <w:marBottom w:val="0"/>
      <w:divBdr>
        <w:top w:val="none" w:sz="0" w:space="0" w:color="auto"/>
        <w:left w:val="none" w:sz="0" w:space="0" w:color="auto"/>
        <w:bottom w:val="none" w:sz="0" w:space="0" w:color="auto"/>
        <w:right w:val="none" w:sz="0" w:space="0" w:color="auto"/>
      </w:divBdr>
    </w:div>
    <w:div w:id="1702626375">
      <w:bodyDiv w:val="1"/>
      <w:marLeft w:val="0"/>
      <w:marRight w:val="0"/>
      <w:marTop w:val="0"/>
      <w:marBottom w:val="0"/>
      <w:divBdr>
        <w:top w:val="none" w:sz="0" w:space="0" w:color="auto"/>
        <w:left w:val="none" w:sz="0" w:space="0" w:color="auto"/>
        <w:bottom w:val="none" w:sz="0" w:space="0" w:color="auto"/>
        <w:right w:val="none" w:sz="0" w:space="0" w:color="auto"/>
      </w:divBdr>
    </w:div>
    <w:div w:id="1713575966">
      <w:bodyDiv w:val="1"/>
      <w:marLeft w:val="0"/>
      <w:marRight w:val="0"/>
      <w:marTop w:val="0"/>
      <w:marBottom w:val="0"/>
      <w:divBdr>
        <w:top w:val="none" w:sz="0" w:space="0" w:color="auto"/>
        <w:left w:val="none" w:sz="0" w:space="0" w:color="auto"/>
        <w:bottom w:val="none" w:sz="0" w:space="0" w:color="auto"/>
        <w:right w:val="none" w:sz="0" w:space="0" w:color="auto"/>
      </w:divBdr>
    </w:div>
    <w:div w:id="1734306460">
      <w:bodyDiv w:val="1"/>
      <w:marLeft w:val="0"/>
      <w:marRight w:val="0"/>
      <w:marTop w:val="0"/>
      <w:marBottom w:val="0"/>
      <w:divBdr>
        <w:top w:val="none" w:sz="0" w:space="0" w:color="auto"/>
        <w:left w:val="none" w:sz="0" w:space="0" w:color="auto"/>
        <w:bottom w:val="none" w:sz="0" w:space="0" w:color="auto"/>
        <w:right w:val="none" w:sz="0" w:space="0" w:color="auto"/>
      </w:divBdr>
    </w:div>
    <w:div w:id="1734306747">
      <w:bodyDiv w:val="1"/>
      <w:marLeft w:val="0"/>
      <w:marRight w:val="0"/>
      <w:marTop w:val="0"/>
      <w:marBottom w:val="0"/>
      <w:divBdr>
        <w:top w:val="none" w:sz="0" w:space="0" w:color="auto"/>
        <w:left w:val="none" w:sz="0" w:space="0" w:color="auto"/>
        <w:bottom w:val="none" w:sz="0" w:space="0" w:color="auto"/>
        <w:right w:val="none" w:sz="0" w:space="0" w:color="auto"/>
      </w:divBdr>
    </w:div>
    <w:div w:id="1751343553">
      <w:bodyDiv w:val="1"/>
      <w:marLeft w:val="0"/>
      <w:marRight w:val="0"/>
      <w:marTop w:val="0"/>
      <w:marBottom w:val="0"/>
      <w:divBdr>
        <w:top w:val="none" w:sz="0" w:space="0" w:color="auto"/>
        <w:left w:val="none" w:sz="0" w:space="0" w:color="auto"/>
        <w:bottom w:val="none" w:sz="0" w:space="0" w:color="auto"/>
        <w:right w:val="none" w:sz="0" w:space="0" w:color="auto"/>
      </w:divBdr>
    </w:div>
    <w:div w:id="1930845108">
      <w:bodyDiv w:val="1"/>
      <w:marLeft w:val="0"/>
      <w:marRight w:val="0"/>
      <w:marTop w:val="0"/>
      <w:marBottom w:val="0"/>
      <w:divBdr>
        <w:top w:val="none" w:sz="0" w:space="0" w:color="auto"/>
        <w:left w:val="none" w:sz="0" w:space="0" w:color="auto"/>
        <w:bottom w:val="none" w:sz="0" w:space="0" w:color="auto"/>
        <w:right w:val="none" w:sz="0" w:space="0" w:color="auto"/>
      </w:divBdr>
    </w:div>
    <w:div w:id="1935938970">
      <w:bodyDiv w:val="1"/>
      <w:marLeft w:val="0"/>
      <w:marRight w:val="0"/>
      <w:marTop w:val="0"/>
      <w:marBottom w:val="0"/>
      <w:divBdr>
        <w:top w:val="none" w:sz="0" w:space="0" w:color="auto"/>
        <w:left w:val="none" w:sz="0" w:space="0" w:color="auto"/>
        <w:bottom w:val="none" w:sz="0" w:space="0" w:color="auto"/>
        <w:right w:val="none" w:sz="0" w:space="0" w:color="auto"/>
      </w:divBdr>
    </w:div>
    <w:div w:id="1944024489">
      <w:bodyDiv w:val="1"/>
      <w:marLeft w:val="0"/>
      <w:marRight w:val="0"/>
      <w:marTop w:val="0"/>
      <w:marBottom w:val="0"/>
      <w:divBdr>
        <w:top w:val="none" w:sz="0" w:space="0" w:color="auto"/>
        <w:left w:val="none" w:sz="0" w:space="0" w:color="auto"/>
        <w:bottom w:val="none" w:sz="0" w:space="0" w:color="auto"/>
        <w:right w:val="none" w:sz="0" w:space="0" w:color="auto"/>
      </w:divBdr>
    </w:div>
    <w:div w:id="2023119752">
      <w:bodyDiv w:val="1"/>
      <w:marLeft w:val="0"/>
      <w:marRight w:val="0"/>
      <w:marTop w:val="0"/>
      <w:marBottom w:val="0"/>
      <w:divBdr>
        <w:top w:val="none" w:sz="0" w:space="0" w:color="auto"/>
        <w:left w:val="none" w:sz="0" w:space="0" w:color="auto"/>
        <w:bottom w:val="none" w:sz="0" w:space="0" w:color="auto"/>
        <w:right w:val="none" w:sz="0" w:space="0" w:color="auto"/>
      </w:divBdr>
    </w:div>
    <w:div w:id="2024697236">
      <w:bodyDiv w:val="1"/>
      <w:marLeft w:val="0"/>
      <w:marRight w:val="0"/>
      <w:marTop w:val="0"/>
      <w:marBottom w:val="0"/>
      <w:divBdr>
        <w:top w:val="none" w:sz="0" w:space="0" w:color="auto"/>
        <w:left w:val="none" w:sz="0" w:space="0" w:color="auto"/>
        <w:bottom w:val="none" w:sz="0" w:space="0" w:color="auto"/>
        <w:right w:val="none" w:sz="0" w:space="0" w:color="auto"/>
      </w:divBdr>
    </w:div>
    <w:div w:id="2038041410">
      <w:bodyDiv w:val="1"/>
      <w:marLeft w:val="0"/>
      <w:marRight w:val="0"/>
      <w:marTop w:val="0"/>
      <w:marBottom w:val="0"/>
      <w:divBdr>
        <w:top w:val="none" w:sz="0" w:space="0" w:color="auto"/>
        <w:left w:val="none" w:sz="0" w:space="0" w:color="auto"/>
        <w:bottom w:val="none" w:sz="0" w:space="0" w:color="auto"/>
        <w:right w:val="none" w:sz="0" w:space="0" w:color="auto"/>
      </w:divBdr>
    </w:div>
    <w:div w:id="21191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dartmouth.edu/resources/student-handbook/standard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dartmouth.edu/judicialaffairs/honor/index.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exual-respect.dartmouth.edu/compliance/dartmouth-sexual-and-gender-based-misconduct-policy-and-procedures" TargetMode="External"/><Relationship Id="rId1" Type="http://schemas.openxmlformats.org/officeDocument/2006/relationships/hyperlink" Target="http://student-affairs.dartmouth.edu/policy/academic-regulations-and-ac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judicial_affairs/JAO_Forms/Annual%20Report/2019-2020%20Annual%20Report/2019-2020%20Tables%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judicial_affairs/JAO_Forms/Annual%20Report/2019-2020%20Annual%20Report/2019-2020%20Tables%20and%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judicial_affairs\JAO_Forms\Annual%20Report\2019-2020%20Annual%20Report\2019-2020%20Tables%20and%20Graphs%20-%20Updat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Major Misconduct Cases by Type: 2019-2020</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Sheet2!$A$9</c:f>
              <c:strCache>
                <c:ptCount val="1"/>
                <c:pt idx="0">
                  <c:v>AHP</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Sheet2!$B$8:$K$8</c:f>
              <c:strCache>
                <c:ptCount val="10"/>
                <c:pt idx="0">
                  <c:v>'10 - '11</c:v>
                </c:pt>
                <c:pt idx="1">
                  <c:v>'11 - '12</c:v>
                </c:pt>
                <c:pt idx="2">
                  <c:v>'12  - '13</c:v>
                </c:pt>
                <c:pt idx="3">
                  <c:v>'13 - '14</c:v>
                </c:pt>
                <c:pt idx="4">
                  <c:v>'14 - '15</c:v>
                </c:pt>
                <c:pt idx="5">
                  <c:v>'15 - '16</c:v>
                </c:pt>
                <c:pt idx="6">
                  <c:v>'16 - '17</c:v>
                </c:pt>
                <c:pt idx="7">
                  <c:v>'17 - '18</c:v>
                </c:pt>
                <c:pt idx="8">
                  <c:v>'18 - '19</c:v>
                </c:pt>
                <c:pt idx="9">
                  <c:v>19 - '20</c:v>
                </c:pt>
              </c:strCache>
            </c:strRef>
          </c:cat>
          <c:val>
            <c:numRef>
              <c:f>Sheet2!$B$9:$K$9</c:f>
              <c:numCache>
                <c:formatCode>General</c:formatCode>
                <c:ptCount val="10"/>
                <c:pt idx="0">
                  <c:v>38</c:v>
                </c:pt>
                <c:pt idx="1">
                  <c:v>22</c:v>
                </c:pt>
                <c:pt idx="2">
                  <c:v>25</c:v>
                </c:pt>
                <c:pt idx="3">
                  <c:v>36</c:v>
                </c:pt>
                <c:pt idx="4">
                  <c:v>108</c:v>
                </c:pt>
                <c:pt idx="5">
                  <c:v>33</c:v>
                </c:pt>
                <c:pt idx="6">
                  <c:v>31</c:v>
                </c:pt>
                <c:pt idx="7">
                  <c:v>17</c:v>
                </c:pt>
                <c:pt idx="8">
                  <c:v>33</c:v>
                </c:pt>
                <c:pt idx="9">
                  <c:v>41</c:v>
                </c:pt>
              </c:numCache>
            </c:numRef>
          </c:val>
          <c:extLst>
            <c:ext xmlns:c16="http://schemas.microsoft.com/office/drawing/2014/chart" uri="{C3380CC4-5D6E-409C-BE32-E72D297353CC}">
              <c16:uniqueId val="{00000000-3CB0-6B4B-83B4-171F27794CF7}"/>
            </c:ext>
          </c:extLst>
        </c:ser>
        <c:ser>
          <c:idx val="1"/>
          <c:order val="1"/>
          <c:tx>
            <c:strRef>
              <c:f>Sheet2!$A$10</c:f>
              <c:strCache>
                <c:ptCount val="1"/>
                <c:pt idx="0">
                  <c:v>Conduct</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Sheet2!$B$8:$K$8</c:f>
              <c:strCache>
                <c:ptCount val="10"/>
                <c:pt idx="0">
                  <c:v>'10 - '11</c:v>
                </c:pt>
                <c:pt idx="1">
                  <c:v>'11 - '12</c:v>
                </c:pt>
                <c:pt idx="2">
                  <c:v>'12  - '13</c:v>
                </c:pt>
                <c:pt idx="3">
                  <c:v>'13 - '14</c:v>
                </c:pt>
                <c:pt idx="4">
                  <c:v>'14 - '15</c:v>
                </c:pt>
                <c:pt idx="5">
                  <c:v>'15 - '16</c:v>
                </c:pt>
                <c:pt idx="6">
                  <c:v>'16 - '17</c:v>
                </c:pt>
                <c:pt idx="7">
                  <c:v>'17 - '18</c:v>
                </c:pt>
                <c:pt idx="8">
                  <c:v>'18 - '19</c:v>
                </c:pt>
                <c:pt idx="9">
                  <c:v>19 - '20</c:v>
                </c:pt>
              </c:strCache>
            </c:strRef>
          </c:cat>
          <c:val>
            <c:numRef>
              <c:f>Sheet2!$B$10:$K$10</c:f>
              <c:numCache>
                <c:formatCode>General</c:formatCode>
                <c:ptCount val="10"/>
                <c:pt idx="0">
                  <c:v>34</c:v>
                </c:pt>
                <c:pt idx="1">
                  <c:v>33</c:v>
                </c:pt>
                <c:pt idx="2">
                  <c:v>40</c:v>
                </c:pt>
                <c:pt idx="3">
                  <c:v>27</c:v>
                </c:pt>
                <c:pt idx="4">
                  <c:v>17</c:v>
                </c:pt>
                <c:pt idx="5">
                  <c:v>18</c:v>
                </c:pt>
                <c:pt idx="6">
                  <c:v>25</c:v>
                </c:pt>
                <c:pt idx="7">
                  <c:v>22</c:v>
                </c:pt>
                <c:pt idx="8">
                  <c:v>16</c:v>
                </c:pt>
                <c:pt idx="9">
                  <c:v>10</c:v>
                </c:pt>
              </c:numCache>
            </c:numRef>
          </c:val>
          <c:extLst>
            <c:ext xmlns:c16="http://schemas.microsoft.com/office/drawing/2014/chart" uri="{C3380CC4-5D6E-409C-BE32-E72D297353CC}">
              <c16:uniqueId val="{00000001-3CB0-6B4B-83B4-171F27794CF7}"/>
            </c:ext>
          </c:extLst>
        </c:ser>
        <c:ser>
          <c:idx val="2"/>
          <c:order val="2"/>
          <c:tx>
            <c:strRef>
              <c:f>Sheet2!$A$11</c:f>
              <c:strCache>
                <c:ptCount val="1"/>
                <c:pt idx="0">
                  <c:v>Title IX</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B0-6B4B-83B4-171F27794CF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B0-6B4B-83B4-171F27794CF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B0-6B4B-83B4-171F27794CF7}"/>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B0-6B4B-83B4-171F27794CF7}"/>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B0-6B4B-83B4-171F27794C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Sheet2!$B$8:$K$8</c:f>
              <c:strCache>
                <c:ptCount val="10"/>
                <c:pt idx="0">
                  <c:v>'10 - '11</c:v>
                </c:pt>
                <c:pt idx="1">
                  <c:v>'11 - '12</c:v>
                </c:pt>
                <c:pt idx="2">
                  <c:v>'12  - '13</c:v>
                </c:pt>
                <c:pt idx="3">
                  <c:v>'13 - '14</c:v>
                </c:pt>
                <c:pt idx="4">
                  <c:v>'14 - '15</c:v>
                </c:pt>
                <c:pt idx="5">
                  <c:v>'15 - '16</c:v>
                </c:pt>
                <c:pt idx="6">
                  <c:v>'16 - '17</c:v>
                </c:pt>
                <c:pt idx="7">
                  <c:v>'17 - '18</c:v>
                </c:pt>
                <c:pt idx="8">
                  <c:v>'18 - '19</c:v>
                </c:pt>
                <c:pt idx="9">
                  <c:v>19 - '20</c:v>
                </c:pt>
              </c:strCache>
            </c:strRef>
          </c:cat>
          <c:val>
            <c:numRef>
              <c:f>Sheet2!$B$11:$K$11</c:f>
              <c:numCache>
                <c:formatCode>General</c:formatCode>
                <c:ptCount val="10"/>
                <c:pt idx="0">
                  <c:v>0</c:v>
                </c:pt>
                <c:pt idx="1">
                  <c:v>0</c:v>
                </c:pt>
                <c:pt idx="2">
                  <c:v>0</c:v>
                </c:pt>
                <c:pt idx="3">
                  <c:v>0</c:v>
                </c:pt>
                <c:pt idx="4">
                  <c:v>8</c:v>
                </c:pt>
                <c:pt idx="5">
                  <c:v>5</c:v>
                </c:pt>
                <c:pt idx="6">
                  <c:v>9</c:v>
                </c:pt>
                <c:pt idx="7">
                  <c:v>5</c:v>
                </c:pt>
                <c:pt idx="8">
                  <c:v>9</c:v>
                </c:pt>
                <c:pt idx="9">
                  <c:v>0</c:v>
                </c:pt>
              </c:numCache>
            </c:numRef>
          </c:val>
          <c:extLst>
            <c:ext xmlns:c16="http://schemas.microsoft.com/office/drawing/2014/chart" uri="{C3380CC4-5D6E-409C-BE32-E72D297353CC}">
              <c16:uniqueId val="{00000007-3CB0-6B4B-83B4-171F27794CF7}"/>
            </c:ext>
          </c:extLst>
        </c:ser>
        <c:dLbls>
          <c:showLegendKey val="0"/>
          <c:showVal val="0"/>
          <c:showCatName val="0"/>
          <c:showSerName val="0"/>
          <c:showPercent val="0"/>
          <c:showBubbleSize val="0"/>
        </c:dLbls>
        <c:gapWidth val="150"/>
        <c:overlap val="100"/>
        <c:axId val="1100466544"/>
        <c:axId val="1100407152"/>
      </c:barChart>
      <c:catAx>
        <c:axId val="110046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00407152"/>
        <c:crosses val="autoZero"/>
        <c:auto val="1"/>
        <c:lblAlgn val="ctr"/>
        <c:lblOffset val="100"/>
        <c:noMultiLvlLbl val="0"/>
      </c:catAx>
      <c:valAx>
        <c:axId val="110040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0046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Honor Principle Cases by Allegation for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'AHP Table and Graph'!$B$1</c:f>
              <c:strCache>
                <c:ptCount val="1"/>
                <c:pt idx="0">
                  <c:v>Quantity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72-E64C-AEB4-8FBCC68F64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72-E64C-AEB4-8FBCC68F64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72-E64C-AEB4-8FBCC68F64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72-E64C-AEB4-8FBCC68F64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72-E64C-AEB4-8FBCC68F64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72-E64C-AEB4-8FBCC68F64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'AHP Table and Graph'!$A$2:$A$7</c:f>
              <c:strCache>
                <c:ptCount val="6"/>
                <c:pt idx="0">
                  <c:v>Cheating on exam/quiz </c:v>
                </c:pt>
                <c:pt idx="1">
                  <c:v>Unauthorized Collab</c:v>
                </c:pt>
                <c:pt idx="2">
                  <c:v>Plagarism </c:v>
                </c:pt>
                <c:pt idx="3">
                  <c:v>Cheating on homework </c:v>
                </c:pt>
                <c:pt idx="4">
                  <c:v>Unauthorized Participation</c:v>
                </c:pt>
                <c:pt idx="5">
                  <c:v>Misrepresentation of Attendance</c:v>
                </c:pt>
              </c:strCache>
            </c:strRef>
          </c:cat>
          <c:val>
            <c:numRef>
              <c:f>'AHP Table and Graph'!$B$2:$B$7</c:f>
              <c:numCache>
                <c:formatCode>0%</c:formatCode>
                <c:ptCount val="6"/>
                <c:pt idx="0">
                  <c:v>0.2</c:v>
                </c:pt>
                <c:pt idx="1">
                  <c:v>0.41</c:v>
                </c:pt>
                <c:pt idx="2">
                  <c:v>0.15</c:v>
                </c:pt>
                <c:pt idx="3">
                  <c:v>7.0000000000000007E-2</c:v>
                </c:pt>
                <c:pt idx="4">
                  <c:v>0.1</c:v>
                </c:pt>
                <c:pt idx="5">
                  <c:v>0.1</c:v>
                </c:pt>
              </c:numCache>
            </c:numRef>
          </c:val>
          <c:extLst>
            <c:ext xmlns:c16="http://schemas.microsoft.com/office/drawing/2014/chart" uri="{C3380CC4-5D6E-409C-BE32-E72D297353CC}">
              <c16:uniqueId val="{0000000C-B272-E64C-AEB4-8FBCC68F64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Disposition</a:t>
            </a:r>
            <a:r>
              <a:rPr lang="en-US" baseline="0"/>
              <a:t> of Administrative-level Incidents: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'Administrative Hearing Table'!$B$25</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6A-45C9-A37A-5C0C492CF3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6A-45C9-A37A-5C0C492CF3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6A-45C9-A37A-5C0C492CF3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6A-45C9-A37A-5C0C492CF37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6A-45C9-A37A-5C0C492CF37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36A-45C9-A37A-5C0C492CF3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'Administrative Hearing Table'!$A$26:$A$31</c:f>
              <c:strCache>
                <c:ptCount val="6"/>
                <c:pt idx="0">
                  <c:v>Not Responsible and Insufficient Evidence</c:v>
                </c:pt>
                <c:pt idx="1">
                  <c:v>First Alcohol </c:v>
                </c:pt>
                <c:pt idx="2">
                  <c:v>Good Samaritan </c:v>
                </c:pt>
                <c:pt idx="3">
                  <c:v>College Warning and Hard Alcohol Warning </c:v>
                </c:pt>
                <c:pt idx="4">
                  <c:v>College Reprimand</c:v>
                </c:pt>
                <c:pt idx="5">
                  <c:v>College Probation</c:v>
                </c:pt>
              </c:strCache>
            </c:strRef>
          </c:cat>
          <c:val>
            <c:numRef>
              <c:f>'Administrative Hearing Table'!$B$26:$B$31</c:f>
              <c:numCache>
                <c:formatCode>0%</c:formatCode>
                <c:ptCount val="6"/>
                <c:pt idx="0">
                  <c:v>0.16</c:v>
                </c:pt>
                <c:pt idx="1">
                  <c:v>0.18</c:v>
                </c:pt>
                <c:pt idx="2">
                  <c:v>0.22</c:v>
                </c:pt>
                <c:pt idx="3">
                  <c:v>0.24</c:v>
                </c:pt>
                <c:pt idx="4">
                  <c:v>0.15</c:v>
                </c:pt>
                <c:pt idx="5">
                  <c:v>0.05</c:v>
                </c:pt>
              </c:numCache>
            </c:numRef>
          </c:val>
          <c:extLst>
            <c:ext xmlns:c16="http://schemas.microsoft.com/office/drawing/2014/chart" uri="{C3380CC4-5D6E-409C-BE32-E72D297353CC}">
              <c16:uniqueId val="{0000000C-436A-45C9-A37A-5C0C492CF3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4.4156796009418207E-2"/>
          <c:y val="0.76666516685414321"/>
          <c:w val="0.92769537598537744"/>
          <c:h val="0.207938007749031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9817-A5BF-AB43-97E9-A0CC8C9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 Strong</dc:creator>
  <cp:keywords/>
  <dc:description/>
  <cp:lastModifiedBy>Adella-Marie G. Cloutier</cp:lastModifiedBy>
  <cp:revision>2</cp:revision>
  <cp:lastPrinted>2018-11-19T15:59:00Z</cp:lastPrinted>
  <dcterms:created xsi:type="dcterms:W3CDTF">2023-10-18T16:44:00Z</dcterms:created>
  <dcterms:modified xsi:type="dcterms:W3CDTF">2023-10-18T16:44:00Z</dcterms:modified>
</cp:coreProperties>
</file>